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őterjesztés Pápakovácsi Község Önkormányzata Képviselő-testületének 2016. január 6-i rendkívüli testületi ülésére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2"/>
        </w:numPr>
        <w:spacing w:before="0" w:after="0" w:line="240"/>
        <w:ind w:right="0" w:left="720" w:hanging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napirend: Fogászati alapellátáshoz kapcsolódó döntések meghozatala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Tisztelt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ők!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40" w:line="240"/>
        <w:ind w:right="0" w:left="0" w:firstLine="20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önkormányzat a fogorvosi ellátásra feladatvállalási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ődést kötött 1998. decemberében dr. Glied-Berke Magdolna doktornővel. A szerződés alapján Pápakovácsi   község mellett Vaszar, Kup, Ganna, Döbrönte község is az ellátási körzetbe tartozott. A későbbiek folyamán Takácsi, Bakonyjákó, Németbánya, Farkasgyepű község is az ellátási körzetbe került. A doktornő sajnálatos módon 2015. év végén meghalt, így az új feladatellátási szerződés megkötéséig az önkormányzatnak szükséges ellátni a feladatot, megkérni a működési engedélyt. Az egészségügyi alapellátásról szóló 2015. évi CXXIII. törvény 5. § (1) bekezdés b) pontja értelmében a települési önkormányzat az egészségügyi alapellátás körében gondoskodik a fogorvosi alapellátásról.</w:t>
      </w:r>
    </w:p>
    <w:p>
      <w:pPr>
        <w:spacing w:before="0" w:after="24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doktorn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lánya, dr. Glied-Berke Barbara a továbbiakban szeretné a fogorvosi körzetet továbbvinni, a praxisjogot kiváltani, s az önkormányzatokkal szerződést kötni. A praxisjog kiváltásához szükséges az ellátott önkormányzatok nyilatkozata, hogy a fogászati alapellátásra a szerződést dr. Glied-Berke Barbara doktornővel kívánják megkötni. Ehhez testületi döntés szükséges. </w: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 folyamat több fázisú lesz. Azellátásban részt vev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  önkormányzatoknak kell megkérni a működési engedélyt. Emellett dr. Glied-Berke Barbara megkéri a vállalkozói engedélyt. Amíg az önkormányzat látja el a fogászati alapellátást, szerződést kell kötnie fogorvossal a feladat ellátására. Esetünkben tervek szerint egy hónapról beszélünk. Ezen időtartam alatt sincs lehetősége arra az önkormányzatnak, hogy közalkalmazotti szerződést kössön fogorvossal, hanem ezen feladatot megbízási szerződéssel kívánja az önkormányzat ellátni. A megbízási szerződés alapján azon összeget biztosítva szerződéses összegként januárra, melyet az OEP közölt 2015. évre vonatkozóan havi átlagfinanszírozásra. Ez az összeg: 840.000,- Ft Ezen összeget a fogorvosi körzetet alkotó önkormányzatok lakosságszámuk alapján biztosítják, s megbízzák  Vaszar község önkormányzatát a  működési engedély beszerzésére, illetve a megállapodás megkötésére. </w: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Következ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őekben az önkormányzatok nyilatkoznak, hogy a fogászati alapellátásra szerződést kívánnak kötni a doktornővel. Ezen nyilatkozat birtokában a doktornő megkéri a praxisjogot. Amennyiben ezen jog megvan számára, úgy az önkormányzatokkal feladat-ellátási szerződést köt a fogászati alapellátásra.</w:t>
      </w:r>
    </w:p>
    <w:p>
      <w:pPr>
        <w:spacing w:before="0" w:after="24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Az alapellátási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ődésnél fontos szempont, hogy az önkormányzatokat ne terhelje további anyagi kötelezettség a feladat ellátásához kapcsolódóan.</w: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Pápakovácsi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  Község Önkormányzat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ő-testületének …/2016.(I.) KT  határozata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Pápakovácsi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Község Önkormányzata fogászati alapellátásra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ődést kíván kötni dr. Glied-Berke Barbara vállalkozóval az önkormányzat fogászati alapellátásának biztosítására. Az önkormányzat rögzíti, hogy az alapellátási szerződés megkötésének feltétele, hogy az önkormányzat nem biztosít hozzájárulást a fogászati alapellátás biztosításához.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polgármester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február 1., vagy praxisjog megszerzését követő 15 napon belül.</w:t>
        <w:br/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Pápakovácsi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 Község Önkormányzat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ő-testületének …/2016.(I.) KT  határozata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Pápakovácsi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Község Önkormányzata által fogászati alapellátásra kötött szerz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ődés Dr. Glied-Berke Magdolna doktornővel a doktornő halála miatt megszűnt, a feladat ellátása az önkormányzatra visszaszállt.  A képviselő-testület Vaszar Község Önkormányzatát megbízza, hogy Vaszar, Pápakovácsi, Kup, Ganna, Döbrönte, Takácsi, Bakonyjákó, Németbánya, Farkasgyepű község ellátási területre a fogászati ellátásra a működési engedélyt kérje meg, az ügyben járjon el. A működési engedély megkérése mellett megbízási szerződés megkötésével Dr. Glied-Berke Barbara vállalkozóval a feladat ellátásáról gondoskodjon. 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polgármester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2016. január 15.</w:t>
        <w:br/>
      </w:r>
    </w:p>
    <w:p>
      <w:pPr>
        <w:spacing w:before="0" w:after="24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Pápakovácsi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 Község Önkormányzat Képvisel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ő-testületének …/2016.(I.) KT határozat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Pápakovácsi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Község Önkormányzatának Képvisel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ő-testülete a Vaszar, Pápakovácsi, Kup, Ganna, Döbrönte, Takácsi, Bakonyjákó, Németbánya, Farkasgyepű községek által meghatározott fogászati alapellátási körzet 2016. január 1-jétől történő működtetéséhez OEP finanszírozás hiányában 840.000,- összeg vonatkozásában lakosságszám alapján járul hozzá. A hozzájárulást a táblázatban foglalt összegben az önkormányzat Vaszar község önkormányzat számlájára 2016. január 25-ig utalja át a táblázatban foglaltaknak megfelelően.</w:t>
      </w:r>
    </w:p>
    <w:tbl>
      <w:tblPr>
        <w:tblInd w:w="55" w:type="dxa"/>
      </w:tblPr>
      <w:tblGrid>
        <w:gridCol w:w="1367"/>
        <w:gridCol w:w="1621"/>
        <w:gridCol w:w="1092"/>
        <w:gridCol w:w="1440"/>
      </w:tblGrid>
      <w:tr>
        <w:trPr>
          <w:trHeight w:val="315" w:hRule="auto"/>
          <w:jc w:val="left"/>
        </w:trPr>
        <w:tc>
          <w:tcPr>
            <w:tcW w:w="13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Megnevezés</w:t>
            </w:r>
          </w:p>
        </w:tc>
        <w:tc>
          <w:tcPr>
            <w:tcW w:w="1621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Lakosságszám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b/>
                <w:color w:val="000000"/>
                <w:spacing w:val="0"/>
                <w:position w:val="0"/>
                <w:sz w:val="24"/>
                <w:shd w:fill="auto" w:val="clear"/>
              </w:rPr>
              <w:t xml:space="preserve">(2015.01.01.)</w:t>
            </w:r>
          </w:p>
        </w:tc>
        <w:tc>
          <w:tcPr>
            <w:tcW w:w="109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Megoszlás aránya</w:t>
            </w:r>
          </w:p>
        </w:tc>
        <w:tc>
          <w:tcPr>
            <w:tcW w:w="144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Fizetend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2"/>
                <w:shd w:fill="auto" w:val="clear"/>
              </w:rPr>
              <w:t xml:space="preserve">ő hozzájárulás</w:t>
            </w:r>
          </w:p>
        </w:tc>
      </w:tr>
      <w:tr>
        <w:trPr>
          <w:trHeight w:val="315" w:hRule="auto"/>
          <w:jc w:val="left"/>
        </w:trPr>
        <w:tc>
          <w:tcPr>
            <w:tcW w:w="136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Vaszar</w:t>
            </w:r>
          </w:p>
        </w:tc>
        <w:tc>
          <w:tcPr>
            <w:tcW w:w="1621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1568</w:t>
            </w:r>
          </w:p>
        </w:tc>
        <w:tc>
          <w:tcPr>
            <w:tcW w:w="1092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30 %</w:t>
            </w:r>
          </w:p>
        </w:tc>
        <w:tc>
          <w:tcPr>
            <w:tcW w:w="1440" w:type="dxa"/>
            <w:tcBorders>
              <w:top w:val="single" w:color="000000" w:sz="4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251 791</w:t>
            </w:r>
          </w:p>
        </w:tc>
      </w:tr>
      <w:tr>
        <w:trPr>
          <w:trHeight w:val="630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Pápakovácsi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593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11%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95 225    </w:t>
            </w:r>
          </w:p>
        </w:tc>
      </w:tr>
      <w:tr>
        <w:trPr>
          <w:trHeight w:val="315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Kup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487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9%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78 203    </w:t>
            </w:r>
          </w:p>
        </w:tc>
      </w:tr>
      <w:tr>
        <w:trPr>
          <w:trHeight w:val="315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Ganna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289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6%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46 408    </w:t>
            </w:r>
          </w:p>
        </w:tc>
      </w:tr>
      <w:tr>
        <w:trPr>
          <w:trHeight w:val="630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Döbrönte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262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5%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42 072    </w:t>
            </w:r>
          </w:p>
        </w:tc>
      </w:tr>
      <w:tr>
        <w:trPr>
          <w:trHeight w:val="315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Takácsi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874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17%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140 348    </w:t>
            </w:r>
          </w:p>
        </w:tc>
      </w:tr>
      <w:tr>
        <w:trPr>
          <w:trHeight w:val="630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Bakonyjákó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682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13%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109 516    </w:t>
            </w:r>
          </w:p>
        </w:tc>
      </w:tr>
      <w:tr>
        <w:trPr>
          <w:trHeight w:val="630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Németbánya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108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2%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17 343    </w:t>
            </w:r>
          </w:p>
        </w:tc>
      </w:tr>
      <w:tr>
        <w:trPr>
          <w:trHeight w:val="630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both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Farkasgyep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ű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right"/>
              <w:rPr>
                <w:spacing w:val="0"/>
                <w:position w:val="0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4"/>
                <w:shd w:fill="auto" w:val="clear"/>
              </w:rPr>
              <w:t xml:space="preserve">368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7%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  59 094    </w:t>
            </w:r>
          </w:p>
        </w:tc>
      </w:tr>
      <w:tr>
        <w:trPr>
          <w:trHeight w:val="300" w:hRule="auto"/>
          <w:jc w:val="left"/>
        </w:trPr>
        <w:tc>
          <w:tcPr>
            <w:tcW w:w="1367" w:type="dxa"/>
            <w:tcBorders>
              <w:top w:val="single" w:color="000000" w:sz="0"/>
              <w:left w:val="single" w:color="000000" w:sz="4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 Összesen:</w:t>
            </w:r>
          </w:p>
        </w:tc>
        <w:tc>
          <w:tcPr>
            <w:tcW w:w="1621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5231</w:t>
            </w:r>
          </w:p>
        </w:tc>
        <w:tc>
          <w:tcPr>
            <w:tcW w:w="1092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righ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100%</w:t>
            </w:r>
          </w:p>
        </w:tc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4"/>
              <w:right w:val="single" w:color="000000" w:sz="4"/>
            </w:tcBorders>
            <w:shd w:color="auto" w:fill="auto" w:val="clear"/>
            <w:tcMar>
              <w:left w:w="70" w:type="dxa"/>
              <w:right w:w="70" w:type="dxa"/>
            </w:tcMar>
            <w:vAlign w:val="bottom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2"/>
                <w:shd w:fill="auto" w:val="clear"/>
              </w:rPr>
              <w:t xml:space="preserve">           840 000    </w:t>
            </w:r>
          </w:p>
        </w:tc>
      </w:tr>
    </w:tbl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Felel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ős: polgármester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Határid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ő: Szövegben adott</w: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Pápakovácsi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, 2015. január 4..</w:t>
      </w:r>
    </w:p>
    <w:p>
      <w:pPr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  <w:tab/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Burghardt Ferenc </w:t>
      </w:r>
    </w:p>
    <w:p>
      <w:pPr>
        <w:tabs>
          <w:tab w:val="center" w:pos="5387" w:leader="none"/>
        </w:tabs>
        <w:spacing w:before="0" w:after="24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polgármester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