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Arial" w:hAnsi="Arial" w:cs="Arial"/>
          <w:b/>
          <w:b/>
          <w:i/>
          <w:i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  <w:t>Pápakovácsi Község Önkormányzat képviselő-testületének</w:t>
      </w:r>
    </w:p>
    <w:p>
      <w:pPr>
        <w:pStyle w:val="NoSpacing"/>
        <w:jc w:val="center"/>
        <w:rPr/>
      </w:pPr>
      <w:r>
        <w:rPr>
          <w:rFonts w:cs="Arial" w:ascii="Arial" w:hAnsi="Arial"/>
          <w:b/>
          <w:i/>
          <w:sz w:val="28"/>
          <w:szCs w:val="28"/>
        </w:rPr>
        <w:t>4</w:t>
      </w:r>
      <w:r>
        <w:rPr>
          <w:rFonts w:cs="Arial" w:ascii="Arial" w:hAnsi="Arial"/>
          <w:b/>
          <w:i/>
          <w:sz w:val="28"/>
          <w:szCs w:val="28"/>
        </w:rPr>
        <w:t>/2018. (</w:t>
      </w:r>
      <w:r>
        <w:rPr>
          <w:rFonts w:cs="Arial" w:ascii="Arial" w:hAnsi="Arial"/>
          <w:b/>
          <w:i/>
          <w:sz w:val="28"/>
          <w:szCs w:val="28"/>
        </w:rPr>
        <w:t>V.30.</w:t>
      </w:r>
      <w:r>
        <w:rPr>
          <w:rFonts w:cs="Arial" w:ascii="Arial" w:hAnsi="Arial"/>
          <w:b/>
          <w:i/>
          <w:sz w:val="28"/>
          <w:szCs w:val="28"/>
        </w:rPr>
        <w:t>) önkormányzati rendelete</w:t>
      </w:r>
    </w:p>
    <w:p>
      <w:pPr>
        <w:pStyle w:val="NoSpacing"/>
        <w:jc w:val="center"/>
        <w:rPr>
          <w:rFonts w:ascii="Arial" w:hAnsi="Arial" w:cs="Arial"/>
          <w:b/>
          <w:b/>
          <w:i/>
          <w:i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  <w:t>Pápakovácsi Község Önkormányzat 2017. évi zárszámadásáról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Pápakovácsi Község Önkormányzat képviselő-testülete az Alaptörvény 32. cikk (1) bekezdésének a) és f) pontjában, valamint az államháztartásról szóló 2011. évi CXCV. törvény 91. § (1) bekezdése alapján az önkormányzat 2017. évi költségvetés végrehajtásáról az alábbit rendeli el: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 rendelet hatálya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1.§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rendelet hatálya kiterjed az önkormányzatra és költségvetési szervére.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Önkormányzat költségvetési szerve: Közös Önkormányzati Hivatal Pápakovácsi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Az önkormányzat zárszámadása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 </w:t>
      </w:r>
    </w:p>
    <w:p>
      <w:pPr>
        <w:pStyle w:val="Normal"/>
        <w:shd w:val="clear" w:color="auto" w:fill="FFFFFF"/>
        <w:spacing w:lineRule="auto" w:line="240" w:before="0" w:after="0"/>
        <w:ind w:left="284" w:hanging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2§</w:t>
      </w:r>
    </w:p>
    <w:p>
      <w:pPr>
        <w:pStyle w:val="ListParagraph"/>
        <w:shd w:val="clear" w:color="auto" w:fill="FFFFFF"/>
        <w:spacing w:lineRule="auto" w:line="240" w:before="0" w:after="0"/>
        <w:ind w:left="644" w:hanging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shd w:val="clear" w:color="auto" w:fill="FFFFFF"/>
        <w:spacing w:lineRule="auto" w:line="240" w:before="0" w:after="0"/>
        <w:ind w:left="644" w:hanging="0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ind w:left="284" w:hanging="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Az önkormányzat önkormányzati szinten összesített 2017. évi zárszámadását</w:t>
      </w:r>
    </w:p>
    <w:p>
      <w:pPr>
        <w:pStyle w:val="Normal"/>
        <w:shd w:val="clear" w:color="auto" w:fill="FFFFFF"/>
        <w:spacing w:lineRule="auto" w:line="240" w:before="0" w:after="0"/>
        <w:ind w:left="1004" w:hanging="36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Times New Roman" w:ascii="Times New Roman" w:hAnsi="Times New Roman"/>
          <w:color w:val="333333"/>
          <w:sz w:val="14"/>
          <w:szCs w:val="14"/>
          <w:lang w:eastAsia="hu-HU"/>
        </w:rPr>
        <w:t> </w:t>
      </w: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 xml:space="preserve">a) </w:t>
        <w:tab/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147.455.189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eredeti bevételi és kiadási előirányzattal</w:t>
      </w:r>
    </w:p>
    <w:p>
      <w:pPr>
        <w:pStyle w:val="Normal"/>
        <w:shd w:val="clear" w:color="auto" w:fill="FFFFFF"/>
        <w:spacing w:lineRule="auto" w:line="240" w:before="0" w:after="0"/>
        <w:ind w:left="1004" w:hanging="36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b)</w:t>
        <w:tab/>
        <w:t xml:space="preserve">176.254.182 </w:t>
      </w: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módosított bevételi és kiadási előirányzattal</w:t>
      </w:r>
    </w:p>
    <w:p>
      <w:pPr>
        <w:pStyle w:val="Normal"/>
        <w:shd w:val="clear" w:color="auto" w:fill="FFFFFF"/>
        <w:spacing w:lineRule="auto" w:line="240" w:before="0" w:after="0"/>
        <w:ind w:left="1004" w:hanging="36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c) 175.148.352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bevételi előirányzat teljesítéssel és 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148.516.287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kiadási előirányzat teljesítéssel</w:t>
      </w:r>
    </w:p>
    <w:p>
      <w:pPr>
        <w:pStyle w:val="ListParagraph"/>
        <w:numPr>
          <w:ilvl w:val="0"/>
          <w:numId w:val="5"/>
        </w:numPr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26.632.065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maradvánnyal hagyja jóvá.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highlight w:val="white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  <w:t>3. §</w:t>
      </w:r>
    </w:p>
    <w:p>
      <w:pPr>
        <w:pStyle w:val="Normal"/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  <w:t>(1) Az önkormányzat összesített 2017.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>
      <w:pPr>
        <w:pStyle w:val="Normal"/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  <w:t>(2) Az önkormányzat működési és felhalmozási bevételeinek és kiadásainak mérlegét a 2.1 és a 2.2. melléklet mutatja be.</w:t>
      </w:r>
    </w:p>
    <w:p>
      <w:pPr>
        <w:pStyle w:val="Normal"/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  <w:t>(3) A beruházási célú kiadások részletezését a 3. melléklet, míg a felújítási célú kiadások részletezését a 4. melléklet szerint fogadja el.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(4) A Képviselő-testület az önkormányzat költségvetési maradványának levezetését az 5. melléklet szerint hagyja jóvá.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(5) Az önkormányzat eredmény-levezetését a 6. melléklet mutatja be.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(6) Az önkormányzat 2017. évben céljelleggel juttatott támogatásait a 7. melléklet adja meg.</w:t>
      </w:r>
    </w:p>
    <w:p>
      <w:pPr>
        <w:pStyle w:val="Normal"/>
        <w:jc w:val="both"/>
        <w:rPr>
          <w:rFonts w:ascii="Arial" w:hAnsi="Arial" w:cs="Arial"/>
          <w:color w:val="333333"/>
          <w:sz w:val="24"/>
          <w:szCs w:val="24"/>
          <w:shd w:fill="FFFFFF" w:val="clear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shd w:fill="FFFFFF" w:val="clear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shd w:fill="FFFFFF" w:val="clear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shd w:fill="FFFFFF" w:val="clear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highlight w:val="white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  <w:t>4.§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(1) A költségvetési évben a  Magyarország gazdasági stabilitásáról szóló 2011. évi CXCIV. törvény  (a továbbiakban: Stabilitási Tv.) 3. § (1) bekezdése szerinti adósságot keletkező ügylet megkötése nem vált szükségessé.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(2)A közfoglalkoztatottak teljesített létszámkeretét 2 főben határozza meg.</w:t>
      </w:r>
    </w:p>
    <w:p>
      <w:pPr>
        <w:pStyle w:val="ListParagraph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(3)Az önkormányzat Európai Uniós forrásból finanszírozott támogatást 2017. évben nem kapott.</w:t>
      </w:r>
    </w:p>
    <w:p>
      <w:pPr>
        <w:pStyle w:val="Normal"/>
        <w:shd w:val="clear" w:color="auto" w:fill="FFFFFF"/>
        <w:spacing w:lineRule="auto" w:line="240" w:before="0" w:after="0"/>
        <w:ind w:left="360" w:hanging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(4) Az önkormányzatnak többéves kihatással járó feladathoz kapcsolódó teljesítése 2017. évben nem volt.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(5) Az önkormányzat 2017. évi működése során hitelt nem vett fel.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5.§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Az önkormányzat 2017. december 31-i állapot szerinti vagyonkimutatását a 8. melléklet szerint fogadja el a képviselő-testület.</w:t>
      </w:r>
    </w:p>
    <w:p>
      <w:pPr>
        <w:pStyle w:val="ListParagraph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Az önkormányzat egyszerűsített mérlegét a 9. melléklet mutatja be.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6.§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18"/>
          <w:szCs w:val="18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ind w:left="1004" w:hanging="36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Az önkormányzat saját 2017. évi zárszámadását 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144.454.789 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Ft eredeti bevételi és kiadási előirányzattal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240" w:before="0" w:after="0"/>
        <w:ind w:left="708" w:firstLine="296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170.995.753 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Ft módosított bevételi és kiadási előirányzattal,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240" w:before="0" w:after="0"/>
        <w:ind w:left="708" w:firstLine="296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169.889.923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bevételi előirányzat teljesítéssel és 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145.388.461 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Ft kiadási előirányzat teljesítéssel 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24.501.462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Ft maradvánnyal hagyja jóvá.</w:t>
      </w:r>
    </w:p>
    <w:p>
      <w:pPr>
        <w:pStyle w:val="Normal"/>
        <w:shd w:val="clear" w:color="auto" w:fill="FFFFFF"/>
        <w:spacing w:lineRule="auto" w:line="240" w:before="0" w:after="0"/>
        <w:ind w:left="1004" w:hanging="36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Az önkormányzat bevételeinek és kiadásainak részletezését önkormányzati szinten a 10.1. melléklet mutatja be.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18"/>
          <w:szCs w:val="18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18"/>
          <w:szCs w:val="18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 Közös Hivatal 2017. évi zárszámadását</w:t>
      </w:r>
    </w:p>
    <w:p>
      <w:pPr>
        <w:pStyle w:val="ListParagraph"/>
        <w:numPr>
          <w:ilvl w:val="0"/>
          <w:numId w:val="7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42.510.000 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Ft eredeti bevételi és kiadási előirányzattal</w:t>
      </w:r>
    </w:p>
    <w:p>
      <w:pPr>
        <w:pStyle w:val="ListParagraph"/>
        <w:numPr>
          <w:ilvl w:val="0"/>
          <w:numId w:val="7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color w:val="333333"/>
          <w:sz w:val="26"/>
          <w:szCs w:val="26"/>
          <w:lang w:eastAsia="hu-HU"/>
        </w:rPr>
        <w:t>45.151.521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Ft módosított bevételi és kiadási előirányzattal</w:t>
      </w:r>
    </w:p>
    <w:p>
      <w:pPr>
        <w:pStyle w:val="ListParagraph"/>
        <w:numPr>
          <w:ilvl w:val="0"/>
          <w:numId w:val="7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Times New Roman" w:ascii="Times New Roman" w:hAnsi="Times New Roman"/>
          <w:color w:val="333333"/>
          <w:sz w:val="14"/>
          <w:lang w:eastAsia="hu-HU"/>
        </w:rPr>
        <w:t> 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45.151.521 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Ft bevételi előirányzat teljesítéssel és </w:t>
      </w: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43.020.918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Ft kiadási előirányzat teljesítéssel </w:t>
      </w:r>
    </w:p>
    <w:p>
      <w:pPr>
        <w:pStyle w:val="ListParagraph"/>
        <w:numPr>
          <w:ilvl w:val="0"/>
          <w:numId w:val="7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2.130.603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Ft maradvánnyal hagyja jóvá.</w:t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 Közös Hivatal bevételeinek és kiadásainak részletezését a 10.2. melléklet mutatja be.</w:t>
      </w:r>
    </w:p>
    <w:p>
      <w:pPr>
        <w:pStyle w:val="ListParagraph"/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 Közös Hivatal eredmény levezetését 11. melléklet, a maradvány kimutatását a 12. melléklet, a vagyonkimutatását a 13. melléklet és az egyszerűsített mérlegét a 14. melléklet mutatja be.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 képviselőtestület a Közös Hivatal 2017. évre teljesített létszámkeretét 9 főben hagyja jóvá.</w:t>
      </w:r>
    </w:p>
    <w:p>
      <w:pPr>
        <w:pStyle w:val="Normal"/>
        <w:shd w:val="clear" w:color="auto" w:fill="FFFFFF"/>
        <w:spacing w:lineRule="auto" w:line="240" w:before="0" w:after="0"/>
        <w:ind w:left="1004" w:hanging="36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18"/>
          <w:szCs w:val="18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Záró rendelkezések</w:t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7.§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 rendelet a kihirdetést követő napon lép hatályba.</w:t>
      </w:r>
    </w:p>
    <w:p>
      <w:pPr>
        <w:pStyle w:val="ListParagraph"/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  <w:t>E rendelet hatályba lépésével egyidejűleg az Önkormányzat 2017. évi költségvetéséről szóló 1/2017. (II.15.) számú rendelet hatályát veszti.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zvegtrzs"/>
        <w:spacing w:beforeAutospacing="0" w:before="0" w:afterAutospacing="0" w:after="0"/>
        <w:rPr/>
      </w:pPr>
      <w:r>
        <w:rPr>
          <w:rFonts w:cs="Arial" w:ascii="Arial" w:hAnsi="Arial"/>
          <w:b/>
          <w:i/>
        </w:rPr>
        <w:t xml:space="preserve">Pápakovácsi, </w:t>
      </w:r>
      <w:r>
        <w:rPr>
          <w:rFonts w:cs="Arial" w:ascii="Arial" w:hAnsi="Arial"/>
          <w:b/>
          <w:i/>
        </w:rPr>
        <w:t xml:space="preserve">2018. május 28. </w:t>
      </w:r>
    </w:p>
    <w:p>
      <w:pPr>
        <w:pStyle w:val="Szvegtrzs"/>
        <w:spacing w:beforeAutospacing="0" w:before="0" w:afterAutospacing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Szvegtrzs"/>
        <w:spacing w:beforeAutospacing="0" w:before="0" w:afterAutospacing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Szvegtrzs"/>
        <w:spacing w:beforeAutospacing="0" w:before="0" w:afterAutospacing="0" w:after="0"/>
        <w:ind w:left="108" w:hanging="0"/>
        <w:rPr/>
      </w:pPr>
      <w:r>
        <w:rPr>
          <w:rFonts w:cs="Arial" w:ascii="Arial" w:hAnsi="Arial"/>
        </w:rPr>
        <w:t>     </w:t>
      </w:r>
      <w:r>
        <w:rPr>
          <w:rStyle w:val="Appleconvertedspace"/>
          <w:rFonts w:cs="Arial" w:ascii="Arial" w:hAnsi="Arial"/>
        </w:rPr>
        <w:t> </w:t>
      </w:r>
      <w:r>
        <w:rPr>
          <w:rFonts w:cs="Arial" w:ascii="Arial" w:hAnsi="Arial"/>
        </w:rPr>
        <w:t>Burghardt Ferenc                              </w:t>
      </w:r>
      <w:r>
        <w:rPr>
          <w:rStyle w:val="Appleconvertedspace"/>
          <w:rFonts w:cs="Arial" w:ascii="Arial" w:hAnsi="Arial"/>
        </w:rPr>
        <w:t> </w:t>
      </w:r>
      <w:r>
        <w:rPr>
          <w:rFonts w:cs="Arial" w:ascii="Arial" w:hAnsi="Arial"/>
        </w:rPr>
        <w:t>                                 </w:t>
      </w:r>
      <w:r>
        <w:rPr>
          <w:rStyle w:val="Appleconvertedspace"/>
          <w:rFonts w:cs="Arial" w:ascii="Arial" w:hAnsi="Arial"/>
        </w:rPr>
        <w:t> </w:t>
      </w:r>
      <w:r>
        <w:rPr>
          <w:rFonts w:cs="Arial" w:ascii="Arial" w:hAnsi="Arial"/>
        </w:rPr>
        <w:t>  Bóka Istvánné    </w:t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  <w:t xml:space="preserve">         </w:t>
      </w:r>
      <w:r>
        <w:rPr>
          <w:rFonts w:cs="Arial" w:ascii="Arial" w:hAnsi="Arial"/>
        </w:rPr>
        <w:t>polgármester</w:t>
        <w:tab/>
        <w:tab/>
        <w:tab/>
        <w:tab/>
        <w:tab/>
        <w:tab/>
        <w:tab/>
        <w:tab/>
        <w:t xml:space="preserve"> jegyző</w:t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  <w:t>A rendelet kihirdetve:</w:t>
      </w:r>
    </w:p>
    <w:p>
      <w:pPr>
        <w:pStyle w:val="Szvegtrzs"/>
        <w:spacing w:beforeAutospacing="0" w:before="0" w:afterAutospacing="0" w:after="0"/>
        <w:ind w:left="108" w:hanging="0"/>
        <w:rPr/>
      </w:pPr>
      <w:r>
        <w:rPr>
          <w:rFonts w:cs="Arial" w:ascii="Arial" w:hAnsi="Arial"/>
        </w:rPr>
        <w:t>201</w:t>
      </w:r>
      <w:r>
        <w:rPr>
          <w:rFonts w:cs="Arial" w:ascii="Arial" w:hAnsi="Arial"/>
        </w:rPr>
        <w:t xml:space="preserve">8. május 30. </w:t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  <w:t>Bóka Istvánné</w:t>
      </w:r>
    </w:p>
    <w:p>
      <w:pPr>
        <w:pStyle w:val="Szvegtrzs"/>
        <w:spacing w:beforeAutospacing="0" w:before="0" w:afterAutospacing="0" w:after="0"/>
        <w:ind w:left="108" w:hanging="0"/>
        <w:rPr/>
      </w:pPr>
      <w:r>
        <w:rPr>
          <w:rFonts w:cs="Arial" w:ascii="Arial" w:hAnsi="Arial"/>
        </w:rPr>
        <w:t xml:space="preserve">     </w:t>
      </w:r>
      <w:r>
        <w:rPr>
          <w:rFonts w:cs="Arial" w:ascii="Arial" w:hAnsi="Arial"/>
        </w:rPr>
        <w:t>jegyző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(%1)"/>
      <w:lvlJc w:val="left"/>
      <w:pPr>
        <w:ind w:left="720" w:hanging="360"/>
      </w:pPr>
      <w:rPr>
        <w:sz w:val="24"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4"/>
      <w:numFmt w:val="lowerLetter"/>
      <w:lvlText w:val="%1)"/>
      <w:lvlJc w:val="left"/>
      <w:pPr>
        <w:ind w:left="1004" w:hanging="360"/>
      </w:pPr>
      <w:rPr>
        <w:sz w:val="18"/>
        <w:b/>
        <w:rFonts w:ascii="Arial" w:hAnsi="Arial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  <w:rFonts w:ascii="Arial" w:hAnsi="Aria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3f7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25513f"/>
    <w:rPr/>
  </w:style>
  <w:style w:type="character" w:styleId="SzvegtrzsChar" w:customStyle="1">
    <w:name w:val="Szövegtörzs Char"/>
    <w:basedOn w:val="DefaultParagraphFont"/>
    <w:link w:val="Szvegtrzs"/>
    <w:uiPriority w:val="99"/>
    <w:qFormat/>
    <w:rsid w:val="009b6dc2"/>
    <w:rPr>
      <w:rFonts w:ascii="Times New Roman" w:hAnsi="Times New Roman" w:eastAsia="Times New Roman" w:cs="Times New Roman"/>
      <w:sz w:val="24"/>
      <w:szCs w:val="24"/>
      <w:lang w:eastAsia="hu-HU"/>
    </w:rPr>
  </w:style>
  <w:style w:type="character" w:styleId="ListLabel1">
    <w:name w:val="ListLabel 1"/>
    <w:qFormat/>
    <w:rPr>
      <w:rFonts w:eastAsia="Times New Roman" w:cs="Arial"/>
    </w:rPr>
  </w:style>
  <w:style w:type="character" w:styleId="ListLabel2">
    <w:name w:val="ListLabel 2"/>
    <w:qFormat/>
    <w:rPr>
      <w:rFonts w:ascii="Arial" w:hAnsi="Arial"/>
      <w:sz w:val="24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ascii="Arial" w:hAnsi="Arial"/>
      <w:b/>
      <w:sz w:val="18"/>
    </w:rPr>
  </w:style>
  <w:style w:type="character" w:styleId="ListLabel10">
    <w:name w:val="ListLabel 10"/>
    <w:qFormat/>
    <w:rPr>
      <w:b w:val="false"/>
    </w:rPr>
  </w:style>
  <w:style w:type="character" w:styleId="ListLabel11">
    <w:name w:val="ListLabel 11"/>
    <w:qFormat/>
    <w:rPr>
      <w:rFonts w:ascii="Arial" w:hAnsi="Arial"/>
      <w:sz w:val="24"/>
      <w:szCs w:val="24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link w:val="SzvegtrzsChar"/>
    <w:uiPriority w:val="99"/>
    <w:unhideWhenUsed/>
    <w:rsid w:val="009b6dc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b6dc2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fe25e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13D91-6443-452D-B06D-EBE22120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LibreOffice/5.2.7.2$Windows_x86 LibreOffice_project/2b7f1e640c46ceb28adf43ee075a6e8b8439ed10</Application>
  <Pages>3</Pages>
  <Words>525</Words>
  <Characters>3528</Characters>
  <CharactersWithSpaces>4088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2017-05-04T08:16:00Z</dcterms:created>
  <dc:creator>Iroda06</dc:creator>
  <dc:description/>
  <dc:language>hu-HU</dc:language>
  <cp:lastModifiedBy/>
  <cp:lastPrinted>2017-05-04T13:52:00Z</cp:lastPrinted>
  <dcterms:modified xsi:type="dcterms:W3CDTF">2018-05-31T10:43:00Z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