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b/>
          <w:b/>
        </w:rPr>
      </w:pPr>
      <w:r>
        <w:rPr>
          <w:rFonts w:cs="Arial"/>
          <w:b/>
        </w:rPr>
      </w:r>
    </w:p>
    <w:p>
      <w:pPr>
        <w:pStyle w:val="Normal"/>
        <w:rPr>
          <w:rFonts w:cs="Arial"/>
          <w:b/>
          <w:b/>
        </w:rPr>
      </w:pPr>
      <w:r>
        <w:rPr>
          <w:rFonts w:cs="Arial"/>
          <w:b/>
        </w:rPr>
      </w:r>
    </w:p>
    <w:p>
      <w:pPr>
        <w:pStyle w:val="Normal"/>
        <w:spacing w:lineRule="atLeast" w:line="280" w:before="120" w:after="0"/>
        <w:jc w:val="center"/>
        <w:rPr/>
      </w:pPr>
      <w:r>
        <w:rPr>
          <w:rFonts w:cs="Arial"/>
          <w:b/>
        </w:rPr>
        <w:t xml:space="preserve">Pápakovácsi Község Önkormányzat Képviselő-testületének 11/2017.(XII.15.) </w:t>
      </w:r>
    </w:p>
    <w:p>
      <w:pPr>
        <w:pStyle w:val="Normal"/>
        <w:spacing w:lineRule="atLeast" w:line="280" w:before="120" w:after="0"/>
        <w:jc w:val="center"/>
        <w:rPr/>
      </w:pPr>
      <w:r>
        <w:rPr>
          <w:rFonts w:cs="Arial"/>
          <w:b/>
        </w:rPr>
        <w:t>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asciiTheme="minorHAnsi" w:hAnsiTheme="minorHAnsi"/>
          <w:b w:val="false"/>
          <w:sz w:val="22"/>
          <w:szCs w:val="22"/>
        </w:rPr>
        <w:t>Pápakovácsi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23. § (5) bekezdés 5. pontjában és az épített környezet alakításáról és védelméről szóló 1997. évi LXXVIII. törvény 57. § (2)-(3)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43/84.§ (6) bekezdés c) pontjában biztosított véleményezési jogkörében eljáró Veszprém Megyei Kormányhivatal Kormánymegbízotti Kabinet Állami Főépítész, Magyar Építész Kamara, Nemzeti Média- és Hírközlési Hatóság, Kulturális Örökség Védelméért Felelős Minisztérium, Balaton-felvidéki Nemzeti Park Igazgatósága, valamint a 9/2017. (VI.22.) önkormányzati rendeletben meghatározott Partnerek véleményének kérésével a következőket rendeli el:</w:t>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b w:val="false"/>
          <w:sz w:val="22"/>
          <w:szCs w:val="22"/>
        </w:rPr>
      </w:r>
    </w:p>
    <w:p>
      <w:pPr>
        <w:pStyle w:val="ListParagraph"/>
        <w:pBdr>
          <w:top w:val="single" w:sz="4" w:space="1" w:color="00000A"/>
          <w:bottom w:val="single" w:sz="4" w:space="1" w:color="00000A"/>
        </w:pBdr>
        <w:spacing w:lineRule="atLeast" w:line="280" w:before="120" w:after="0"/>
        <w:ind w:left="0" w:hanging="0"/>
        <w:contextualSpacing/>
        <w:jc w:val="center"/>
        <w:rPr/>
      </w:pPr>
      <w:bookmarkStart w:id="0" w:name="_Toc482612915"/>
      <w:bookmarkStart w:id="1" w:name="_Toc480884897"/>
      <w:r>
        <w:rPr/>
        <w:t xml:space="preserve">I. </w:t>
        <w:tab/>
        <w:t xml:space="preserve">FEJEZET – </w:t>
      </w:r>
      <w:bookmarkEnd w:id="0"/>
      <w:bookmarkEnd w:id="1"/>
      <w:r>
        <w:rPr/>
        <w:t>ÁLTALÁNOS RENDELKEZÉSEK</w:t>
      </w:r>
    </w:p>
    <w:p>
      <w:pPr>
        <w:pStyle w:val="ListParagraph"/>
        <w:spacing w:lineRule="atLeast" w:line="280" w:before="120" w:after="0"/>
        <w:contextualSpacing/>
        <w:rPr>
          <w:b/>
          <w:b/>
        </w:rPr>
      </w:pPr>
      <w:r>
        <w:rPr>
          <w:b/>
        </w:rPr>
      </w:r>
    </w:p>
    <w:p>
      <w:pPr>
        <w:pStyle w:val="ListParagraph"/>
        <w:numPr>
          <w:ilvl w:val="0"/>
          <w:numId w:val="2"/>
        </w:numPr>
        <w:spacing w:lineRule="atLeast" w:line="280" w:before="120" w:after="0"/>
        <w:contextualSpacing/>
        <w:jc w:val="center"/>
        <w:rPr>
          <w:b/>
          <w:b/>
        </w:rPr>
      </w:pPr>
      <w:r>
        <w:rPr>
          <w:b/>
        </w:rPr>
        <w:t>A rendelet célja, hatálya, alkalmazása és értelmező rendelkezések</w:t>
      </w:r>
    </w:p>
    <w:p>
      <w:pPr>
        <w:pStyle w:val="ListParagraph"/>
        <w:spacing w:lineRule="atLeast" w:line="280" w:before="120" w:after="0"/>
        <w:contextualSpacing/>
        <w:rPr>
          <w:b/>
          <w:b/>
        </w:rPr>
      </w:pPr>
      <w:r>
        <w:rPr>
          <w:b/>
        </w:rPr>
      </w:r>
    </w:p>
    <w:p>
      <w:pPr>
        <w:pStyle w:val="ListParagraph"/>
        <w:numPr>
          <w:ilvl w:val="0"/>
          <w:numId w:val="1"/>
        </w:numPr>
        <w:spacing w:lineRule="atLeast" w:line="280" w:before="120" w:after="0"/>
        <w:ind w:left="0" w:hanging="426"/>
        <w:contextualSpacing/>
        <w:jc w:val="both"/>
        <w:rPr>
          <w:rFonts w:cs="Arial"/>
        </w:rPr>
      </w:pPr>
      <w:r>
        <w:rPr>
          <w:rFonts w:cs="Arial"/>
        </w:rPr>
      </w:r>
    </w:p>
    <w:p>
      <w:pPr>
        <w:pStyle w:val="ListParagraph"/>
        <w:numPr>
          <w:ilvl w:val="1"/>
          <w:numId w:val="1"/>
        </w:numPr>
        <w:spacing w:lineRule="atLeast" w:line="280" w:before="120" w:after="0"/>
        <w:ind w:left="426" w:hanging="284"/>
        <w:contextualSpacing/>
        <w:jc w:val="both"/>
        <w:rPr>
          <w:rFonts w:cs="Arial"/>
          <w:sz w:val="18"/>
          <w:szCs w:val="18"/>
        </w:rPr>
      </w:pPr>
      <w:r>
        <w:rPr>
          <w:rFonts w:cs="Arial"/>
          <w:sz w:val="18"/>
          <w:szCs w:val="18"/>
        </w:rPr>
        <w:t>1</w:t>
      </w:r>
    </w:p>
    <w:p>
      <w:pPr>
        <w:pStyle w:val="ListParagraph"/>
        <w:numPr>
          <w:ilvl w:val="1"/>
          <w:numId w:val="1"/>
        </w:numPr>
        <w:spacing w:lineRule="atLeast" w:line="280" w:before="120" w:after="0"/>
        <w:ind w:left="426" w:hanging="284"/>
        <w:contextualSpacing/>
        <w:jc w:val="both"/>
        <w:rPr>
          <w:rFonts w:cs="Arial"/>
        </w:rPr>
      </w:pPr>
      <w:r>
        <w:rPr>
          <w:rFonts w:cs="Arial"/>
        </w:rPr>
        <w:t xml:space="preserve"> </w:t>
      </w:r>
      <w:r>
        <w:rPr>
          <w:rFonts w:cs="Arial"/>
          <w:sz w:val="18"/>
          <w:szCs w:val="18"/>
        </w:rPr>
        <w:t xml:space="preserve">2 </w:t>
      </w:r>
      <w:r>
        <w:rPr>
          <w:rFonts w:cs="Arial"/>
        </w:rPr>
        <w:t>Rendelet mellékletei:</w:t>
      </w:r>
    </w:p>
    <w:p>
      <w:pPr>
        <w:pStyle w:val="ListParagraph"/>
        <w:numPr>
          <w:ilvl w:val="2"/>
          <w:numId w:val="1"/>
        </w:numPr>
        <w:spacing w:lineRule="atLeast" w:line="280" w:before="120" w:after="0"/>
        <w:contextualSpacing/>
        <w:jc w:val="both"/>
        <w:rPr>
          <w:rFonts w:cs="Arial"/>
        </w:rPr>
      </w:pPr>
      <w:r>
        <w:rPr>
          <w:rFonts w:cs="Arial"/>
        </w:rPr>
        <w:t>1.  melléklet: Helyi védett épületek, építmények jegyzéke,</w:t>
      </w:r>
    </w:p>
    <w:p>
      <w:pPr>
        <w:pStyle w:val="ListParagraph"/>
        <w:numPr>
          <w:ilvl w:val="2"/>
          <w:numId w:val="1"/>
        </w:numPr>
        <w:spacing w:lineRule="atLeast" w:line="280" w:before="120" w:after="0"/>
        <w:contextualSpacing/>
        <w:jc w:val="both"/>
        <w:rPr>
          <w:rFonts w:cs="Arial"/>
        </w:rPr>
      </w:pPr>
      <w:r>
        <w:rPr>
          <w:rFonts w:cs="Arial"/>
        </w:rPr>
        <w:t>2. melléklet: Pápakovácsi településképi szempontból meghatározó területeinek lehatárolása,</w:t>
      </w:r>
    </w:p>
    <w:p>
      <w:pPr>
        <w:pStyle w:val="ListParagraph"/>
        <w:numPr>
          <w:ilvl w:val="2"/>
          <w:numId w:val="1"/>
        </w:numPr>
        <w:spacing w:lineRule="atLeast" w:line="280" w:before="120" w:after="0"/>
        <w:contextualSpacing/>
        <w:jc w:val="both"/>
        <w:rPr>
          <w:rFonts w:cs="Arial"/>
        </w:rPr>
      </w:pPr>
      <w:r>
        <w:rPr>
          <w:rFonts w:cs="Arial"/>
        </w:rPr>
        <w:t>3. melléklet: Javasolt növényfajok jegyzéke és telken belüli beültetési útmutató,</w:t>
      </w:r>
    </w:p>
    <w:p>
      <w:pPr>
        <w:pStyle w:val="ListParagraph"/>
        <w:numPr>
          <w:ilvl w:val="2"/>
          <w:numId w:val="1"/>
        </w:numPr>
        <w:spacing w:lineRule="atLeast" w:line="280" w:before="120" w:after="0"/>
        <w:contextualSpacing/>
        <w:jc w:val="both"/>
        <w:rPr>
          <w:rFonts w:cs="Arial"/>
        </w:rPr>
      </w:pPr>
      <w:r>
        <w:rPr>
          <w:rFonts w:cs="Arial"/>
        </w:rPr>
        <w:t>4. melléklet: Tiltott növényfajok jegyzéke.</w:t>
      </w:r>
    </w:p>
    <w:p>
      <w:pPr>
        <w:pStyle w:val="ListParagraph"/>
        <w:numPr>
          <w:ilvl w:val="0"/>
          <w:numId w:val="1"/>
        </w:numPr>
        <w:spacing w:lineRule="atLeast" w:line="280" w:before="120" w:after="0"/>
        <w:ind w:left="0" w:hanging="426"/>
        <w:contextualSpacing/>
        <w:jc w:val="both"/>
        <w:rPr>
          <w:rFonts w:cs="Arial"/>
        </w:rPr>
      </w:pPr>
      <w:r>
        <w:rPr>
          <w:rFonts w:cs="Arial"/>
        </w:rPr>
      </w:r>
    </w:p>
    <w:p>
      <w:pPr>
        <w:pStyle w:val="ListParagraph"/>
        <w:numPr>
          <w:ilvl w:val="1"/>
          <w:numId w:val="1"/>
        </w:numPr>
        <w:spacing w:lineRule="atLeast" w:line="280" w:before="120" w:after="0"/>
        <w:ind w:left="426" w:hanging="284"/>
        <w:contextualSpacing/>
        <w:jc w:val="both"/>
        <w:rPr>
          <w:rFonts w:cs="Arial"/>
        </w:rPr>
      </w:pPr>
      <w:r>
        <w:rPr>
          <w:rFonts w:cs="Arial"/>
        </w:rPr>
        <w:t>A helyi védelem célja Pápakovácsi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contextualSpacing/>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contextualSpacing/>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contextualSpacing/>
        <w:jc w:val="both"/>
        <w:rPr/>
      </w:pPr>
      <w:r>
        <w:rPr>
          <w:rFonts w:cs="Arial"/>
        </w:rPr>
        <w:t>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w:t>
      </w:r>
    </w:p>
    <w:p>
      <w:pPr>
        <w:pStyle w:val="ListParagraph"/>
        <w:spacing w:lineRule="atLeast" w:line="280" w:before="120" w:after="0"/>
        <w:ind w:left="0" w:hanging="426"/>
        <w:contextualSpacing/>
        <w:jc w:val="both"/>
        <w:rPr>
          <w:rFonts w:cs="Arial"/>
        </w:rPr>
      </w:pPr>
      <w:r>
        <w:rPr>
          <w:rFonts w:cs="Arial"/>
        </w:rPr>
      </w:r>
    </w:p>
    <w:p>
      <w:pPr>
        <w:pStyle w:val="ListParagraph"/>
        <w:spacing w:lineRule="atLeast" w:line="280" w:before="120" w:after="0"/>
        <w:ind w:left="0" w:hanging="426"/>
        <w:contextualSpacing/>
        <w:jc w:val="both"/>
        <w:rPr>
          <w:rFonts w:cs="Arial"/>
        </w:rPr>
      </w:pPr>
      <w:r>
        <w:rPr>
          <w:rFonts w:cs="Arial"/>
        </w:rPr>
      </w:r>
    </w:p>
    <w:p>
      <w:pPr>
        <w:pStyle w:val="ListParagraph"/>
        <w:spacing w:lineRule="atLeast" w:line="280" w:before="120" w:after="0"/>
        <w:ind w:left="851" w:hanging="0"/>
        <w:contextualSpacing/>
        <w:jc w:val="both"/>
        <w:rPr>
          <w:rFonts w:cs="Arial"/>
        </w:rPr>
      </w:pPr>
      <w:r>
        <w:rPr>
          <w:rFonts w:cs="Arial"/>
        </w:rPr>
      </w:r>
    </w:p>
    <w:p>
      <w:pPr>
        <w:pStyle w:val="ListParagraph"/>
        <w:numPr>
          <w:ilvl w:val="0"/>
          <w:numId w:val="2"/>
        </w:numPr>
        <w:spacing w:lineRule="atLeast" w:line="280" w:before="120" w:after="0"/>
        <w:contextualSpacing/>
        <w:jc w:val="center"/>
        <w:rPr>
          <w:b/>
          <w:b/>
        </w:rPr>
      </w:pPr>
      <w:bookmarkStart w:id="2" w:name="_Toc482612919"/>
      <w:bookmarkStart w:id="3" w:name="_Toc480884901"/>
      <w:bookmarkEnd w:id="2"/>
      <w:bookmarkEnd w:id="3"/>
      <w:r>
        <w:rPr>
          <w:b/>
        </w:rPr>
        <w:t>Értelmező rendelkezések</w:t>
      </w:r>
    </w:p>
    <w:p>
      <w:pPr>
        <w:pStyle w:val="ListParagraph"/>
        <w:numPr>
          <w:ilvl w:val="0"/>
          <w:numId w:val="1"/>
        </w:numPr>
        <w:spacing w:lineRule="atLeast" w:line="280" w:before="120" w:after="0"/>
        <w:ind w:left="0" w:hanging="426"/>
        <w:contextualSpacing/>
        <w:jc w:val="both"/>
        <w:rPr>
          <w:rFonts w:cs="Arial"/>
        </w:rPr>
      </w:pPr>
      <w:r>
        <w:rPr>
          <w:rFonts w:cs="Arial"/>
        </w:rPr>
        <w:t>E rendelet alkalmazásában:</w:t>
      </w:r>
    </w:p>
    <w:p>
      <w:pPr>
        <w:pStyle w:val="ListParagraph"/>
        <w:numPr>
          <w:ilvl w:val="1"/>
          <w:numId w:val="1"/>
        </w:numPr>
        <w:spacing w:lineRule="atLeast" w:line="280" w:before="120" w:after="0"/>
        <w:contextualSpacing/>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contextualSpacing/>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contextualSpacing/>
        <w:jc w:val="both"/>
        <w:rPr>
          <w:rFonts w:cs="Arial"/>
          <w:sz w:val="16"/>
          <w:szCs w:val="16"/>
        </w:rPr>
      </w:pPr>
      <w:r>
        <w:rPr>
          <w:rFonts w:cs="Arial"/>
          <w:sz w:val="16"/>
          <w:szCs w:val="16"/>
        </w:rPr>
        <w:t>3</w:t>
      </w:r>
    </w:p>
    <w:p>
      <w:pPr>
        <w:pStyle w:val="ListParagraph"/>
        <w:numPr>
          <w:ilvl w:val="1"/>
          <w:numId w:val="1"/>
        </w:numPr>
        <w:spacing w:lineRule="atLeast" w:line="280" w:before="120" w:after="0"/>
        <w:contextualSpacing/>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contextualSpacing/>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contextualSpacing/>
        <w:jc w:val="center"/>
        <w:rPr/>
      </w:pPr>
      <w:bookmarkStart w:id="4" w:name="_Toc482612921"/>
      <w:bookmarkStart w:id="5" w:name="_Toc480884906"/>
      <w:r>
        <w:rPr/>
        <w:t xml:space="preserve">II.FEJEZET </w:t>
      </w:r>
      <w:bookmarkStart w:id="6" w:name="_Toc482612922"/>
      <w:bookmarkStart w:id="7" w:name="_Toc480884907"/>
      <w:bookmarkEnd w:id="4"/>
      <w:bookmarkEnd w:id="5"/>
      <w:bookmarkEnd w:id="6"/>
      <w:bookmarkEnd w:id="7"/>
      <w:r>
        <w:rPr/>
        <w:t>- A HELYI VÉDELEM</w:t>
      </w:r>
    </w:p>
    <w:p>
      <w:pPr>
        <w:pStyle w:val="ListParagraph"/>
        <w:numPr>
          <w:ilvl w:val="0"/>
          <w:numId w:val="2"/>
        </w:numPr>
        <w:spacing w:lineRule="atLeast" w:line="280" w:before="120" w:after="0"/>
        <w:ind w:left="714" w:hanging="357"/>
        <w:contextualSpacing/>
        <w:jc w:val="center"/>
        <w:rPr>
          <w:b/>
          <w:b/>
        </w:rPr>
      </w:pPr>
      <w:r>
        <w:rPr>
          <w:b/>
        </w:rPr>
        <w:t>A helyi védelem célja és feladata</w:t>
      </w:r>
    </w:p>
    <w:p>
      <w:pPr>
        <w:pStyle w:val="ListParagraph"/>
        <w:numPr>
          <w:ilvl w:val="0"/>
          <w:numId w:val="1"/>
        </w:numPr>
        <w:spacing w:lineRule="atLeast" w:line="280" w:before="120" w:after="0"/>
        <w:ind w:left="284" w:hanging="710"/>
        <w:contextualSpacing/>
        <w:rPr>
          <w:b/>
          <w:b/>
        </w:rPr>
      </w:pPr>
      <w:r>
        <w:rPr>
          <w:b/>
        </w:rPr>
      </w:r>
    </w:p>
    <w:p>
      <w:pPr>
        <w:pStyle w:val="ListParagraph"/>
        <w:numPr>
          <w:ilvl w:val="1"/>
          <w:numId w:val="1"/>
        </w:numPr>
        <w:spacing w:lineRule="atLeast" w:line="280" w:before="120" w:after="0"/>
        <w:contextualSpacing/>
        <w:rPr>
          <w:b/>
          <w:b/>
        </w:rPr>
      </w:pPr>
      <w:r>
        <w:rPr>
          <w:rFonts w:cs="Arial"/>
        </w:rPr>
        <w:t>Az épített környezet fenntartása, a jelen és a jövő nemzedékek számára való megőrzése érdekében az Önkormányzat a közigazgatási területén található, Pápakovácsi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contextualSpacing/>
        <w:rPr>
          <w:b/>
          <w:b/>
        </w:rPr>
      </w:pPr>
      <w:r>
        <w:rPr>
          <w:rFonts w:cs="Arial"/>
        </w:rPr>
        <w:t>A védett értékek Pápakovácsi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contextualSpacing/>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contextualSpacing/>
        <w:rPr>
          <w:b/>
          <w:b/>
        </w:rPr>
      </w:pPr>
      <w:r>
        <w:rPr>
          <w:rFonts w:cs="Arial"/>
        </w:rPr>
        <w:t>A helyi építészeti értékek védelmének feladata különösen:</w:t>
      </w:r>
    </w:p>
    <w:p>
      <w:pPr>
        <w:pStyle w:val="ListParagraph"/>
        <w:numPr>
          <w:ilvl w:val="2"/>
          <w:numId w:val="1"/>
        </w:numPr>
        <w:spacing w:lineRule="atLeast" w:line="280" w:before="120" w:after="0"/>
        <w:contextualSpacing/>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contextualSpacing/>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contextualSpacing/>
        <w:jc w:val="center"/>
        <w:rPr>
          <w:b/>
          <w:b/>
        </w:rPr>
      </w:pPr>
      <w:r>
        <w:rPr>
          <w:b/>
        </w:rPr>
        <w:t>A helyi védelem fajtái</w:t>
      </w:r>
    </w:p>
    <w:p>
      <w:pPr>
        <w:pStyle w:val="ListParagraph"/>
        <w:numPr>
          <w:ilvl w:val="0"/>
          <w:numId w:val="1"/>
        </w:numPr>
        <w:spacing w:lineRule="atLeast" w:line="280" w:before="120" w:after="0"/>
        <w:ind w:left="284" w:hanging="71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védelem területi vagy egyedi védelem lehet.</w:t>
      </w:r>
    </w:p>
    <w:p>
      <w:pPr>
        <w:pStyle w:val="ListParagraph"/>
        <w:numPr>
          <w:ilvl w:val="1"/>
          <w:numId w:val="1"/>
        </w:numPr>
        <w:spacing w:lineRule="atLeast" w:line="280" w:before="120" w:after="0"/>
        <w:contextualSpacing/>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contextualSpacing/>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contextualSpacing/>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contextualSpacing/>
        <w:jc w:val="both"/>
        <w:rPr>
          <w:rFonts w:cs="Arial"/>
        </w:rPr>
      </w:pPr>
      <w:r>
        <w:rPr>
          <w:rFonts w:cs="Arial"/>
        </w:rPr>
        <w:t>szoborra, képzőművészeti alkotásra, valamint</w:t>
      </w:r>
    </w:p>
    <w:p>
      <w:pPr>
        <w:pStyle w:val="ListParagraph"/>
        <w:numPr>
          <w:ilvl w:val="2"/>
          <w:numId w:val="1"/>
        </w:numPr>
        <w:spacing w:lineRule="atLeast" w:line="280" w:before="120" w:after="0"/>
        <w:contextualSpacing/>
        <w:jc w:val="both"/>
        <w:rPr>
          <w:rFonts w:cs="Arial"/>
        </w:rPr>
      </w:pPr>
      <w:r>
        <w:rPr>
          <w:rFonts w:cs="Arial"/>
        </w:rPr>
        <w:t xml:space="preserve">az </w:t>
      </w:r>
      <w:r>
        <w:rPr>
          <w:rFonts w:cs="Arial"/>
          <w:i/>
          <w:iCs/>
        </w:rPr>
        <w:t>a)-b)</w:t>
      </w:r>
      <w:r>
        <w:rPr>
          <w:rFonts w:cs="Arial"/>
        </w:rPr>
        <w:t xml:space="preserve"> ponthoz kapcsolódóan az érintett földrészlet, telekre is egészére vagy részére ki terjedhet.</w:t>
      </w:r>
    </w:p>
    <w:p>
      <w:pPr>
        <w:pStyle w:val="ListParagraph"/>
        <w:spacing w:lineRule="atLeast" w:line="280" w:before="120" w:after="0"/>
        <w:ind w:left="567" w:hanging="0"/>
        <w:contextualSpacing/>
        <w:jc w:val="both"/>
        <w:rPr/>
      </w:pPr>
      <w:r>
        <w:rPr/>
      </w:r>
      <w:bookmarkStart w:id="8" w:name="_Toc482612924"/>
      <w:bookmarkStart w:id="9" w:name="_Toc480884909"/>
      <w:bookmarkStart w:id="10" w:name="_Toc482612924"/>
      <w:bookmarkStart w:id="11" w:name="_Toc480884909"/>
      <w:bookmarkEnd w:id="10"/>
      <w:bookmarkEnd w:id="11"/>
    </w:p>
    <w:p>
      <w:pPr>
        <w:pStyle w:val="ListParagraph"/>
        <w:numPr>
          <w:ilvl w:val="0"/>
          <w:numId w:val="2"/>
        </w:numPr>
        <w:spacing w:lineRule="atLeast" w:line="280" w:before="120" w:after="0"/>
        <w:contextualSpacing/>
        <w:jc w:val="center"/>
        <w:rPr>
          <w:rFonts w:cs="Arial"/>
          <w:b/>
          <w:b/>
        </w:rPr>
      </w:pPr>
      <w:r>
        <w:rPr>
          <w:rFonts w:cs="Arial"/>
          <w:b/>
        </w:rPr>
        <w:t>A helyi védelem alá helyezés és a védelem megszűntetésének szabályai</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contextualSpacing/>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contextualSpacing/>
        <w:jc w:val="both"/>
        <w:rPr>
          <w:rFonts w:cs="Arial"/>
          <w:sz w:val="16"/>
          <w:szCs w:val="16"/>
        </w:rPr>
      </w:pPr>
      <w:r>
        <w:rPr>
          <w:rFonts w:cs="Arial"/>
          <w:sz w:val="16"/>
          <w:szCs w:val="16"/>
        </w:rPr>
        <w:t>4</w:t>
      </w:r>
    </w:p>
    <w:p>
      <w:pPr>
        <w:pStyle w:val="ListParagraph"/>
        <w:numPr>
          <w:ilvl w:val="2"/>
          <w:numId w:val="1"/>
        </w:numPr>
        <w:spacing w:lineRule="atLeast" w:line="280" w:before="120" w:after="0"/>
        <w:contextualSpacing/>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contextualSpacing/>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contextualSpacing/>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contextualSpacing/>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contextualSpacing/>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contextualSpacing/>
        <w:jc w:val="both"/>
        <w:rPr>
          <w:rFonts w:cs="Arial"/>
        </w:rPr>
      </w:pPr>
      <w:r>
        <w:rPr>
          <w:rFonts w:cs="Arial"/>
          <w:iCs/>
        </w:rPr>
        <w:t>a védettség megszüntetését megalapozó műemlékvédelmi szakértői névjegyzékben szereplő szakértő által készített 1 évnél nem régebbi értékvizsgálatot.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contextualSpacing/>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contextualSpacing/>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contextualSpacing/>
        <w:jc w:val="both"/>
        <w:rPr>
          <w:rFonts w:cs="Arial"/>
        </w:rPr>
      </w:pPr>
      <w:r>
        <w:rPr>
          <w:rFonts w:cs="Arial"/>
          <w:iCs/>
        </w:rPr>
        <w:t xml:space="preserve">a kezdeményezőket, </w:t>
      </w:r>
    </w:p>
    <w:p>
      <w:pPr>
        <w:pStyle w:val="ListParagraph"/>
        <w:numPr>
          <w:ilvl w:val="2"/>
          <w:numId w:val="1"/>
        </w:numPr>
        <w:spacing w:lineRule="atLeast" w:line="280" w:before="120" w:after="0"/>
        <w:contextualSpacing/>
        <w:jc w:val="both"/>
        <w:rPr>
          <w:rFonts w:cs="Arial"/>
        </w:rPr>
      </w:pPr>
      <w:r>
        <w:rPr>
          <w:rFonts w:cs="Arial"/>
          <w:iCs/>
        </w:rPr>
        <w:t>az illetékes építésügyi hatóságot.</w:t>
      </w:r>
    </w:p>
    <w:p>
      <w:pPr>
        <w:pStyle w:val="ListParagraph"/>
        <w:numPr>
          <w:ilvl w:val="1"/>
          <w:numId w:val="1"/>
        </w:numPr>
        <w:spacing w:lineRule="atLeast" w:line="280" w:before="120" w:after="0"/>
        <w:contextualSpacing/>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contextualSpacing/>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contextualSpacing/>
        <w:jc w:val="both"/>
        <w:rPr>
          <w:rFonts w:cs="Arial"/>
        </w:rPr>
      </w:pPr>
      <w:r>
        <w:rPr>
          <w:rFonts w:cs="Arial"/>
        </w:rPr>
        <w:t>A nyilvántartás tartalmazza:</w:t>
      </w:r>
    </w:p>
    <w:p>
      <w:pPr>
        <w:pStyle w:val="ListParagraph"/>
        <w:numPr>
          <w:ilvl w:val="2"/>
          <w:numId w:val="1"/>
        </w:numPr>
        <w:spacing w:lineRule="atLeast" w:line="280" w:before="120" w:after="0"/>
        <w:contextualSpacing/>
        <w:jc w:val="both"/>
        <w:rPr>
          <w:rFonts w:cs="Arial"/>
        </w:rPr>
      </w:pPr>
      <w:r>
        <w:rPr>
          <w:rFonts w:cs="Arial"/>
          <w:iCs/>
        </w:rPr>
        <w:t xml:space="preserve">a védett érték megnevezését, </w:t>
      </w:r>
    </w:p>
    <w:p>
      <w:pPr>
        <w:pStyle w:val="ListParagraph"/>
        <w:numPr>
          <w:ilvl w:val="2"/>
          <w:numId w:val="1"/>
        </w:numPr>
        <w:spacing w:lineRule="atLeast" w:line="280" w:before="120" w:after="0"/>
        <w:contextualSpacing/>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contextualSpacing/>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contextualSpacing/>
        <w:jc w:val="both"/>
        <w:rPr>
          <w:rFonts w:cs="Arial"/>
        </w:rPr>
      </w:pPr>
      <w:r>
        <w:rPr>
          <w:rFonts w:cs="Arial"/>
          <w:iCs/>
        </w:rPr>
        <w:t>a védelem típusát,</w:t>
      </w:r>
    </w:p>
    <w:p>
      <w:pPr>
        <w:pStyle w:val="ListParagraph"/>
        <w:numPr>
          <w:ilvl w:val="2"/>
          <w:numId w:val="1"/>
        </w:numPr>
        <w:spacing w:lineRule="atLeast" w:line="280" w:before="120" w:after="0"/>
        <w:contextualSpacing/>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contextualSpacing/>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contextualSpacing/>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contextualSpacing/>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contextualSpacing/>
        <w:jc w:val="both"/>
        <w:rPr>
          <w:rFonts w:cs="Arial"/>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contextualSpacing/>
        <w:jc w:val="both"/>
        <w:rPr>
          <w:rFonts w:cs="Arial"/>
        </w:rPr>
      </w:pPr>
      <w:r>
        <w:rPr>
          <w:rFonts w:cs="Arial"/>
          <w:sz w:val="16"/>
          <w:szCs w:val="16"/>
        </w:rPr>
        <w:t>5</w:t>
      </w:r>
      <w:r>
        <w:rPr>
          <w:rFonts w:cs="Arial"/>
        </w:rPr>
        <w:t xml:space="preserve">           </w:t>
      </w:r>
    </w:p>
    <w:p>
      <w:pPr>
        <w:pStyle w:val="ListParagraph"/>
        <w:numPr>
          <w:ilvl w:val="1"/>
          <w:numId w:val="1"/>
        </w:numPr>
        <w:spacing w:lineRule="atLeast" w:line="280" w:before="120" w:after="0"/>
        <w:contextualSpacing/>
        <w:jc w:val="both"/>
        <w:rPr>
          <w:rFonts w:cs="Arial"/>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contextualSpacing/>
        <w:jc w:val="both"/>
        <w:rPr>
          <w:rFonts w:cs="Arial"/>
        </w:rPr>
      </w:pPr>
      <w:r>
        <w:rPr>
          <w:rFonts w:cs="Arial"/>
        </w:rPr>
        <w:t xml:space="preserve">A helyi egyedi védelem alá helyezést elrendelő önkormányzati rendelet hatályba lépésétől számított 120 napon belül a képviselő testület kezdeményezi az ingatlanügyi hatóságnál a védelem jogi jellegként való feljegyzését. </w:t>
      </w:r>
    </w:p>
    <w:p>
      <w:pPr>
        <w:pStyle w:val="ListParagraph"/>
        <w:numPr>
          <w:ilvl w:val="0"/>
          <w:numId w:val="1"/>
        </w:numPr>
        <w:spacing w:lineRule="atLeast" w:line="280" w:before="120" w:after="0"/>
        <w:contextualSpacing/>
        <w:jc w:val="both"/>
        <w:rPr>
          <w:rFonts w:cs="Arial"/>
        </w:rPr>
      </w:pPr>
      <w:r>
        <w:rPr>
          <w:rFonts w:cs="Arial"/>
        </w:rPr>
        <w:t xml:space="preserve">Amennyiben egy helyi egyedi védelem alatt álló értéket műemléki védelem (beleértve a nyilvántartott műemléki értékeket) alá helyeznek, annak közzétételével egyidejűleg a helyi egyedi védelem megszűnik. </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 </w:t>
      </w:r>
      <w:r>
        <w:rPr>
          <w:rFonts w:cs="Arial"/>
        </w:rPr>
        <w:t>A helyi egyedi védelem alá helyezett értéket egységes táblával meg lehet jelölni.</w:t>
      </w:r>
    </w:p>
    <w:p>
      <w:pPr>
        <w:pStyle w:val="ListParagraph"/>
        <w:numPr>
          <w:ilvl w:val="1"/>
          <w:numId w:val="1"/>
        </w:numPr>
        <w:spacing w:lineRule="atLeast" w:line="280" w:before="120" w:after="0"/>
        <w:contextualSpacing/>
        <w:jc w:val="both"/>
        <w:rPr>
          <w:rFonts w:cs="Arial"/>
        </w:rPr>
      </w:pPr>
      <w:r>
        <w:rPr>
          <w:rFonts w:cs="Arial"/>
        </w:rPr>
        <w:t xml:space="preserve">A tábla elkészíttetéséről, elhelyezéséről a polgármester gondoskodik. </w:t>
      </w:r>
    </w:p>
    <w:p>
      <w:pPr>
        <w:pStyle w:val="ListParagraph"/>
        <w:numPr>
          <w:ilvl w:val="1"/>
          <w:numId w:val="1"/>
        </w:numPr>
        <w:spacing w:lineRule="atLeast" w:line="280" w:before="120" w:after="0"/>
        <w:contextualSpacing/>
        <w:jc w:val="both"/>
        <w:rPr>
          <w:rFonts w:cs="Arial"/>
        </w:rPr>
      </w:pPr>
      <w:r>
        <w:rPr>
          <w:rFonts w:cs="Arial"/>
        </w:rPr>
        <w:t>A tábla elhelyezése, fenntartása és pótlása az Önkormányzat feladata.</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120" w:after="0"/>
        <w:contextualSpacing/>
        <w:jc w:val="center"/>
        <w:rPr>
          <w:rFonts w:cs="Arial"/>
          <w:b/>
          <w:b/>
        </w:rPr>
      </w:pPr>
      <w:r>
        <w:rPr>
          <w:rFonts w:cs="Arial"/>
          <w:b/>
        </w:rPr>
        <w:t>A helyi értékekkel összefüggő korlátozások, kötelezettségek</w:t>
      </w:r>
    </w:p>
    <w:p>
      <w:pPr>
        <w:pStyle w:val="Normal"/>
        <w:spacing w:lineRule="atLeast" w:line="280" w:before="120" w:after="0"/>
        <w:jc w:val="both"/>
        <w:rPr>
          <w:rFonts w:cs="Arial"/>
        </w:rPr>
      </w:pPr>
      <w:r>
        <w:rPr>
          <w:rFonts w:cs="Arial"/>
        </w:rPr>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contextualSpacing/>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contextualSpacing/>
        <w:jc w:val="both"/>
        <w:rPr>
          <w:rFonts w:cs="Arial"/>
        </w:rPr>
      </w:pPr>
      <w:r>
        <w:rPr>
          <w:rFonts w:cs="Arial"/>
        </w:rPr>
        <w:t>A helyi értékek használata és fenntartása nem veszélyeztetheti azok építészeti értékeinek megőrzését.</w:t>
      </w:r>
    </w:p>
    <w:p>
      <w:pPr>
        <w:pStyle w:val="ListParagraph"/>
        <w:numPr>
          <w:ilvl w:val="0"/>
          <w:numId w:val="1"/>
        </w:numPr>
        <w:spacing w:lineRule="atLeast" w:line="280" w:before="120" w:after="0"/>
        <w:contextualSpacing/>
        <w:jc w:val="both"/>
        <w:rPr>
          <w:rFonts w:cs="Arial"/>
        </w:rPr>
      </w:pPr>
      <w:r>
        <w:rPr>
          <w:rFonts w:cs="Arial"/>
        </w:rPr>
        <w:t>A védett építmények külső vagy belső felújítási, helyreállítási,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 során az Önkormányzat ajánlása szerint lehet.</w:t>
      </w:r>
    </w:p>
    <w:p>
      <w:pPr>
        <w:pStyle w:val="ListParagraph"/>
        <w:spacing w:lineRule="atLeast" w:line="280" w:before="120" w:after="0"/>
        <w:ind w:left="284" w:hanging="0"/>
        <w:contextualSpacing/>
        <w:jc w:val="both"/>
        <w:rPr>
          <w:rFonts w:cs="Arial"/>
        </w:rPr>
      </w:pPr>
      <w:r>
        <w:rPr>
          <w:rFonts w:cs="Arial"/>
        </w:rPr>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értékek eredeti külső megjelenését:</w:t>
      </w:r>
    </w:p>
    <w:p>
      <w:pPr>
        <w:pStyle w:val="ListParagraph"/>
        <w:numPr>
          <w:ilvl w:val="2"/>
          <w:numId w:val="1"/>
        </w:numPr>
        <w:spacing w:lineRule="atLeast" w:line="280" w:before="120" w:after="0"/>
        <w:contextualSpacing/>
        <w:jc w:val="both"/>
        <w:rPr>
          <w:rFonts w:cs="Arial"/>
        </w:rPr>
      </w:pPr>
      <w:r>
        <w:rPr>
          <w:rFonts w:cs="Arial"/>
        </w:rPr>
        <w:t>homlokzati architektúrájának és homlokzattagolásának részleteit és egészét,</w:t>
      </w:r>
    </w:p>
    <w:p>
      <w:pPr>
        <w:pStyle w:val="ListParagraph"/>
        <w:numPr>
          <w:ilvl w:val="2"/>
          <w:numId w:val="1"/>
        </w:numPr>
        <w:spacing w:lineRule="atLeast" w:line="280" w:before="120" w:after="0"/>
        <w:contextualSpacing/>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contextualSpacing/>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contextualSpacing/>
        <w:jc w:val="both"/>
        <w:rPr>
          <w:rFonts w:cs="Arial"/>
        </w:rPr>
      </w:pPr>
      <w:r>
        <w:rPr>
          <w:rFonts w:cs="Arial"/>
        </w:rPr>
        <w:t>az eredeti épület tartozékait és felszerelését</w:t>
      </w:r>
    </w:p>
    <w:p>
      <w:pPr>
        <w:pStyle w:val="Normal"/>
        <w:spacing w:lineRule="atLeast" w:line="280" w:before="120" w:after="0"/>
        <w:ind w:left="284" w:hanging="0"/>
        <w:jc w:val="both"/>
        <w:rPr>
          <w:rFonts w:cs="Arial"/>
        </w:rPr>
      </w:pPr>
      <w:r>
        <w:rPr>
          <w:rFonts w:cs="Arial"/>
        </w:rPr>
        <w:t>az értékvizsgálattól függően az e rendeletben foglaltak figyelembe vételével kell megőrizni és helyreállítani.</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Ha a védett érték egyes részét, részletét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contextualSpacing/>
        <w:jc w:val="both"/>
        <w:rPr>
          <w:rFonts w:cs="Arial"/>
        </w:rPr>
      </w:pPr>
      <w:r>
        <w:rPr>
          <w:rFonts w:cs="Arial"/>
        </w:rPr>
        <w:t>az eredeti állapotnak megfelelően, vagy</w:t>
      </w:r>
    </w:p>
    <w:p>
      <w:pPr>
        <w:pStyle w:val="ListParagraph"/>
        <w:numPr>
          <w:ilvl w:val="2"/>
          <w:numId w:val="1"/>
        </w:numPr>
        <w:spacing w:lineRule="atLeast" w:line="280" w:before="120" w:after="0"/>
        <w:contextualSpacing/>
        <w:jc w:val="both"/>
        <w:rPr>
          <w:rFonts w:cs="Arial"/>
        </w:rPr>
      </w:pPr>
      <w:r>
        <w:rPr>
          <w:rFonts w:cs="Arial"/>
        </w:rPr>
        <w:t>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w:t>
      </w:r>
    </w:p>
    <w:p>
      <w:pPr>
        <w:pStyle w:val="Normal"/>
        <w:rPr>
          <w:rFonts w:cs="Arial"/>
          <w:b/>
          <w:b/>
        </w:rPr>
      </w:pPr>
      <w:r>
        <w:rPr>
          <w:rFonts w:cs="Arial"/>
          <w:b/>
        </w:rPr>
      </w:r>
      <w:r>
        <w:br w:type="page"/>
      </w:r>
    </w:p>
    <w:p>
      <w:pPr>
        <w:pStyle w:val="ListParagraph"/>
        <w:numPr>
          <w:ilvl w:val="0"/>
          <w:numId w:val="2"/>
        </w:numPr>
        <w:spacing w:lineRule="atLeast" w:line="280" w:before="120" w:after="0"/>
        <w:contextualSpacing/>
        <w:jc w:val="center"/>
        <w:rPr>
          <w:rFonts w:cs="Arial"/>
        </w:rPr>
      </w:pPr>
      <w:r>
        <w:rPr>
          <w:rFonts w:cs="Arial"/>
          <w:b/>
        </w:rPr>
        <w:t>A védettséggel kapcsolatos támogatás</w:t>
      </w:r>
    </w:p>
    <w:p>
      <w:pPr>
        <w:pStyle w:val="Cmsor2"/>
        <w:spacing w:lineRule="atLeast" w:line="280" w:before="120" w:after="200"/>
        <w:ind w:firstLine="708"/>
        <w:jc w:val="center"/>
        <w:rPr>
          <w:rFonts w:ascii="Calibri" w:hAnsi="Calibri" w:cs="Arial" w:asciiTheme="minorHAnsi" w:hAnsiTheme="minorHAnsi"/>
          <w:color w:val="00000A"/>
          <w:sz w:val="22"/>
          <w:szCs w:val="22"/>
        </w:rPr>
      </w:pPr>
      <w:r>
        <w:rPr>
          <w:rFonts w:cs="Arial" w:ascii="Calibri" w:hAnsi="Calibri"/>
          <w:color w:val="00000A"/>
          <w:sz w:val="22"/>
          <w:szCs w:val="22"/>
        </w:rPr>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contextualSpacing/>
        <w:jc w:val="both"/>
        <w:rPr>
          <w:rFonts w:cs="Arial"/>
        </w:rPr>
      </w:pPr>
      <w:r>
        <w:rPr>
          <w:rFonts w:cs="Arial"/>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contextualSpacing/>
        <w:jc w:val="both"/>
        <w:rPr>
          <w:rFonts w:cs="Arial"/>
        </w:rPr>
      </w:pPr>
      <w:r>
        <w:rPr>
          <w:rFonts w:cs="Arial"/>
        </w:rPr>
        <w:t>A támogatásról, annak felhasználásáról és az elszámolási szabályokról az Önkormányzat a kedvezményezettel támogatási szerződést köthet.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 xml:space="preserve">A védett értékek felújításával kapcsolatos esetleges adókedvezmény a vonatkozó adójogszabályok keretei között, az ott meghatározott feltételekkel vehető igénybe. </w:t>
      </w:r>
    </w:p>
    <w:p>
      <w:pPr>
        <w:pStyle w:val="ListParagraph"/>
        <w:numPr>
          <w:ilvl w:val="1"/>
          <w:numId w:val="1"/>
        </w:numPr>
        <w:spacing w:lineRule="atLeast" w:line="280" w:before="120" w:after="0"/>
        <w:contextualSpacing/>
        <w:jc w:val="both"/>
        <w:rPr>
          <w:rFonts w:cs="Arial"/>
        </w:rPr>
      </w:pPr>
      <w:r>
        <w:rPr>
          <w:rFonts w:cs="Arial"/>
        </w:rPr>
        <w:t>A védett érték felújításának végrehajtását – az esetleges adókedvezmény igénybe vétele céljából – kérelemre a polgármester igazolja.</w:t>
      </w:r>
    </w:p>
    <w:p>
      <w:pPr>
        <w:pStyle w:val="ListParagraph"/>
        <w:numPr>
          <w:ilvl w:val="0"/>
          <w:numId w:val="1"/>
        </w:numPr>
        <w:spacing w:lineRule="atLeast" w:line="280" w:before="120" w:after="0"/>
        <w:contextualSpacing/>
        <w:jc w:val="both"/>
        <w:rPr>
          <w:rFonts w:cs="Arial"/>
        </w:rPr>
      </w:pPr>
      <w:r>
        <w:rPr>
          <w:rFonts w:cs="Arial"/>
        </w:rPr>
        <w:t>A védett értékek felújításakor az építési munkák idejére fizetendő közterület-használati díjat külön kérelemre az Önkormányzat részben, vagy egészben elengedheti.</w:t>
      </w:r>
    </w:p>
    <w:p>
      <w:pPr>
        <w:pStyle w:val="Normal"/>
        <w:rPr>
          <w:rFonts w:cs="Arial"/>
        </w:rPr>
      </w:pPr>
      <w:r>
        <w:rPr>
          <w:rFonts w:cs="Arial"/>
        </w:rPr>
      </w:r>
      <w:bookmarkStart w:id="12" w:name="_Toc482612932"/>
      <w:bookmarkStart w:id="13" w:name="_Toc480884917"/>
      <w:bookmarkStart w:id="14" w:name="_Toc482612932"/>
      <w:bookmarkStart w:id="15" w:name="_Toc480884917"/>
      <w:bookmarkEnd w:id="14"/>
      <w:bookmarkEnd w:id="15"/>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clear" w:pos="708"/>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numPr>
          <w:ilvl w:val="0"/>
          <w:numId w:val="1"/>
        </w:numPr>
        <w:rPr/>
      </w:pPr>
      <w:r>
        <w:rPr>
          <w:sz w:val="16"/>
          <w:szCs w:val="16"/>
        </w:rPr>
        <w:t xml:space="preserve">6  </w:t>
      </w:r>
      <w:r>
        <w:rPr/>
        <w:t xml:space="preserve"> Az Önkormányzat a településkép szempontjából meghatározó területként jelöli ki a </w:t>
      </w:r>
      <w:r>
        <w:rPr>
          <w:b/>
        </w:rPr>
        <w:t xml:space="preserve">2.  mellékletben </w:t>
      </w:r>
      <w:r>
        <w:rPr/>
        <w:t xml:space="preserve"> feltüntetett területeket:</w:t>
      </w:r>
    </w:p>
    <w:p>
      <w:pPr>
        <w:pStyle w:val="ListParagraph"/>
        <w:numPr>
          <w:ilvl w:val="2"/>
          <w:numId w:val="1"/>
        </w:numPr>
        <w:rPr/>
      </w:pPr>
      <w:r>
        <w:rPr/>
        <w:t>Hagyományos beépítés</w:t>
      </w:r>
    </w:p>
    <w:p>
      <w:pPr>
        <w:pStyle w:val="ListParagraph"/>
        <w:numPr>
          <w:ilvl w:val="2"/>
          <w:numId w:val="1"/>
        </w:numPr>
        <w:rPr/>
      </w:pPr>
      <w:r>
        <w:rPr/>
        <w:t>Új beépítés</w:t>
      </w:r>
    </w:p>
    <w:p>
      <w:pPr>
        <w:pStyle w:val="ListParagraph"/>
        <w:numPr>
          <w:ilvl w:val="2"/>
          <w:numId w:val="1"/>
        </w:numPr>
        <w:rPr/>
      </w:pPr>
      <w:r>
        <w:rPr/>
        <w:t>Új beépítés - sorházas</w:t>
      </w:r>
    </w:p>
    <w:p>
      <w:pPr>
        <w:pStyle w:val="ListParagraph"/>
        <w:ind w:left="851" w:hanging="0"/>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numPr>
          <w:ilvl w:val="0"/>
          <w:numId w:val="1"/>
        </w:numPr>
        <w:rPr/>
      </w:pPr>
      <w:r>
        <w:rPr/>
        <w:t>A telkek utcai telekhatárán – a lábazat kivételével – nyersbeton felületű, tömör kerítés nem építhető.</w:t>
      </w:r>
    </w:p>
    <w:p>
      <w:pPr>
        <w:pStyle w:val="ListParagraph"/>
        <w:numPr>
          <w:ilvl w:val="0"/>
          <w:numId w:val="1"/>
        </w:numPr>
        <w:rPr/>
      </w:pPr>
      <w:r>
        <w:rPr/>
        <w:t xml:space="preserve"> </w:t>
      </w:r>
      <w:r>
        <w:rPr/>
        <w:t xml:space="preserve">Főépület tetőfedésére </w:t>
      </w:r>
      <w:r>
        <w:rPr>
          <w:rFonts w:cs="Arial"/>
        </w:rPr>
        <w:t xml:space="preserve">mesterséges pala, alumínium trapézlemez, </w:t>
      </w:r>
      <w:r>
        <w:rPr/>
        <w:t>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numPr>
          <w:ilvl w:val="0"/>
          <w:numId w:val="1"/>
        </w:numPr>
        <w:rPr/>
      </w:pPr>
      <w:r>
        <w:rPr/>
        <w:t>Kerítés kialakításánál az alábbiakat kell figyelembe venni:</w:t>
      </w:r>
    </w:p>
    <w:p>
      <w:pPr>
        <w:pStyle w:val="ListParagraph"/>
        <w:numPr>
          <w:ilvl w:val="1"/>
          <w:numId w:val="1"/>
        </w:numPr>
        <w:rPr>
          <w:b/>
          <w:b/>
        </w:rPr>
      </w:pPr>
      <w:r>
        <w:rPr>
          <w:sz w:val="16"/>
          <w:szCs w:val="16"/>
        </w:rPr>
        <w:t xml:space="preserve">7 </w:t>
      </w:r>
      <w:r>
        <w:rPr/>
        <w:t xml:space="preserve"> </w:t>
      </w:r>
    </w:p>
    <w:p>
      <w:pPr>
        <w:pStyle w:val="ListParagraph"/>
        <w:numPr>
          <w:ilvl w:val="1"/>
          <w:numId w:val="1"/>
        </w:numPr>
        <w:rPr>
          <w:b/>
          <w:b/>
        </w:rPr>
      </w:pPr>
      <w:r>
        <w:rPr/>
        <w:t>Útcsatlakozásoknál a szabadlátást akadályozó létesítményeket elhelyezni, valamint 0,60 m-nél magasabb növényzetet ültetni tilos.</w:t>
      </w:r>
    </w:p>
    <w:p>
      <w:pPr>
        <w:pStyle w:val="ListParagraph"/>
        <w:numPr>
          <w:ilvl w:val="1"/>
          <w:numId w:val="1"/>
        </w:numPr>
        <w:rPr/>
      </w:pPr>
      <w:r>
        <w:rPr/>
        <w:t>Az épületek homlokzatainak, kerítéseinek egységét meg kell tartani, azt részleges átalakítással vagy átfestéssel megbontani nem szabad.</w:t>
      </w:r>
    </w:p>
    <w:p>
      <w:pPr>
        <w:pStyle w:val="ListParagraph"/>
        <w:rPr>
          <w:b/>
          <w:b/>
        </w:rPr>
      </w:pPr>
      <w:r>
        <w:rPr>
          <w:b/>
        </w:rPr>
      </w:r>
    </w:p>
    <w:p>
      <w:pPr>
        <w:pStyle w:val="ListParagraph"/>
        <w:rPr>
          <w:b/>
          <w:b/>
        </w:rPr>
      </w:pPr>
      <w:r>
        <w:rPr>
          <w:b/>
        </w:rPr>
      </w:r>
    </w:p>
    <w:p>
      <w:pPr>
        <w:pStyle w:val="ListParagraph"/>
        <w:numPr>
          <w:ilvl w:val="0"/>
          <w:numId w:val="1"/>
        </w:numPr>
        <w:rPr/>
      </w:pPr>
      <w:r>
        <w:rPr/>
        <w:t>Az épületet az alábbiak alapján kell kialakítani:</w:t>
      </w:r>
    </w:p>
    <w:p>
      <w:pPr>
        <w:pStyle w:val="ListParagraph"/>
        <w:numPr>
          <w:ilvl w:val="1"/>
          <w:numId w:val="1"/>
        </w:numPr>
        <w:rPr/>
      </w:pPr>
      <w:r>
        <w:rPr>
          <w:rFonts w:cs="Arial"/>
        </w:rPr>
        <w:t>Főépület tetőkialakítása hagyományos nyeregtetős, vagy lekontyolt nyeregtetős tetőszerkezetű, barnás árnyalatú pikkelyes fedésű lehet. Kiemelten ajánlott cserépfedés alkalmazása.</w:t>
      </w:r>
    </w:p>
    <w:p>
      <w:pPr>
        <w:pStyle w:val="ListParagraph"/>
        <w:numPr>
          <w:ilvl w:val="1"/>
          <w:numId w:val="1"/>
        </w:numPr>
        <w:rPr>
          <w:rFonts w:cs="Arial"/>
        </w:rPr>
      </w:pPr>
      <w:r>
        <w:rPr>
          <w:rFonts w:cs="Arial"/>
        </w:rPr>
        <w:t>Az egy telken lévő építmények tömegeit és homlokzatait (homlokzati színezéseket) úgy kell kialakítani, hogy azok egymással összhangban legyenek és formai szempontból egységes építmény-együttes hatását keltsék.</w:t>
      </w:r>
    </w:p>
    <w:p>
      <w:pPr>
        <w:pStyle w:val="ListParagraph"/>
        <w:numPr>
          <w:ilvl w:val="1"/>
          <w:numId w:val="1"/>
        </w:numPr>
        <w:rPr/>
      </w:pPr>
      <w:r>
        <w:rPr>
          <w:rFonts w:cs="Arial"/>
        </w:rPr>
        <w:t>A szomszédos épületek utcai homlokzatának magassága maximum 0,5 méterrel térhet el egymástól, valamint tömegformálásukkal és színvilágukkal illeszkedniük kell egymáshoz.</w:t>
      </w:r>
    </w:p>
    <w:p>
      <w:pPr>
        <w:pStyle w:val="Sbek"/>
        <w:numPr>
          <w:ilvl w:val="0"/>
          <w:numId w:val="1"/>
        </w:numPr>
        <w:rPr>
          <w:rFonts w:ascii="Calibri" w:hAnsi="Calibri" w:asciiTheme="minorHAnsi" w:hAnsiTheme="minorHAnsi"/>
        </w:rPr>
      </w:pPr>
      <w:r>
        <w:rPr>
          <w:rFonts w:asciiTheme="minorHAnsi" w:hAnsiTheme="minorHAnsi" w:ascii="Calibri" w:hAnsi="Calibri"/>
        </w:rPr>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mindenkori szakmai szempontoknak megfelelően jó karban tartani vagy tartatni</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Az (1) bekezdés szerinti jó karbantartásnak minősül a fás szárú növény: </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fajtatulajdonságainak és növekedési jellemzőinek megfelelő metszése, ifjítása</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öntözési lehetőségének biztosítása,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1"/>
        </w:numPr>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1"/>
          <w:numId w:val="1"/>
        </w:numPr>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 xml:space="preserve">A lakótelkek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gázvezetékről 2,0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egyéb vezetéktől, csapadékvíz elvezető ároktól 1,0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16"/>
          <w:szCs w:val="16"/>
        </w:rPr>
        <w:t>8</w:t>
      </w:r>
      <w:r>
        <w:rPr>
          <w:rFonts w:eastAsia="" w:cs="Arial" w:ascii="Calibri" w:hAnsi="Calibri" w:asciiTheme="minorHAnsi" w:eastAsiaTheme="minorEastAsia" w:hAnsiTheme="minorHAnsi"/>
          <w:sz w:val="22"/>
          <w:szCs w:val="22"/>
        </w:rPr>
        <w:t xml:space="preserve"> </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numPr>
          <w:ilvl w:val="0"/>
          <w:numId w:val="1"/>
        </w:numPr>
        <w:tabs>
          <w:tab w:val="clear" w:pos="708"/>
          <w:tab w:val="left" w:pos="993" w:leader="none"/>
        </w:tabs>
        <w:spacing w:lineRule="atLeast" w:line="280" w:before="120" w:after="0"/>
        <w:contextualSpacing/>
        <w:jc w:val="both"/>
        <w:rPr>
          <w:rFonts w:cs="Arial"/>
        </w:rPr>
      </w:pPr>
      <w:r>
        <w:rPr>
          <w:rFonts w:cs="Arial"/>
        </w:rPr>
        <w:t xml:space="preserve"> </w:t>
      </w:r>
    </w:p>
    <w:p>
      <w:pPr>
        <w:pStyle w:val="ListParagraph"/>
        <w:numPr>
          <w:ilvl w:val="1"/>
          <w:numId w:val="1"/>
        </w:numPr>
        <w:tabs>
          <w:tab w:val="clear" w:pos="708"/>
          <w:tab w:val="left" w:pos="993" w:leader="none"/>
        </w:tabs>
        <w:spacing w:lineRule="atLeast" w:line="280" w:before="120" w:after="0"/>
        <w:contextualSpacing/>
        <w:jc w:val="both"/>
        <w:rPr>
          <w:rFonts w:cs="Arial"/>
        </w:rPr>
      </w:pPr>
      <w:r>
        <w:rPr>
          <w:rFonts w:cs="Arial"/>
        </w:rPr>
        <w:t>Új épületek kialakításánál, a meglévő házak átépítésénél az alábbiakat kell figyelembe venni:</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az épületek utcai homlokzatának arányrendszere igazodjon a környezethez, az épületek magassága és szélessége 1: 1,5 arányú legyen,</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 xml:space="preserve">a területeken csak magastetős épületek épülhetnek, </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oromfalas vagy lekontyolt tetőszerkezetű épület is egyaránt építhető,</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a meglévő, értékes beépítésű területen álló épületeknél a nyílászárók felújításánál, cseréjénél a helyi építészeti hagyományok szerinti ajtók – ablakok arányát és számát lehetőség szerint meg kell őrizni,</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lakóépületek a helyi építészeti hagyományoknak megfelelően vakolt homlokzati megjelenéssel, a településre jellemző halvány (fehér, sárga, barna és árnyalatai) színezéssel alakíthatók ki,</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a településen két vagy többszintes tetőterű épület nem helyezhető el,</w:t>
      </w:r>
    </w:p>
    <w:p>
      <w:pPr>
        <w:pStyle w:val="ListParagraph"/>
        <w:numPr>
          <w:ilvl w:val="2"/>
          <w:numId w:val="1"/>
        </w:numPr>
        <w:tabs>
          <w:tab w:val="clear" w:pos="708"/>
          <w:tab w:val="left" w:pos="993" w:leader="none"/>
        </w:tabs>
        <w:spacing w:lineRule="atLeast" w:line="280" w:before="120" w:after="0"/>
        <w:contextualSpacing/>
        <w:jc w:val="both"/>
        <w:rPr>
          <w:rFonts w:cs="Arial"/>
        </w:rPr>
      </w:pPr>
      <w:r>
        <w:rPr>
          <w:rFonts w:cs="Arial"/>
        </w:rPr>
        <w:t>az épületeket egyik homlokzatmagassága sem haladhatja meg az övezetben előírt épületmagasság +1,5 métert.</w:t>
      </w:r>
    </w:p>
    <w:p>
      <w:pPr>
        <w:pStyle w:val="ListParagraph"/>
        <w:tabs>
          <w:tab w:val="clear" w:pos="708"/>
          <w:tab w:val="left" w:pos="993" w:leader="none"/>
        </w:tabs>
        <w:spacing w:lineRule="atLeast" w:line="280" w:before="120" w:after="0"/>
        <w:ind w:left="851" w:hanging="0"/>
        <w:contextualSpacing/>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településképi szempontból meghatározó hagyományos beépítésű területekre vonatkozó egyedi építészeti követelmények</w:t>
      </w:r>
    </w:p>
    <w:p>
      <w:pPr>
        <w:pStyle w:val="ListParagraph"/>
        <w:spacing w:lineRule="atLeast" w:line="280" w:before="240" w:after="120"/>
        <w:contextualSpacing/>
        <w:rPr>
          <w:rFonts w:cs="Arial"/>
          <w:b/>
          <w:b/>
        </w:rPr>
      </w:pPr>
      <w:r>
        <w:rPr>
          <w:rFonts w:cs="Arial"/>
          <w:b/>
        </w:rPr>
      </w:r>
    </w:p>
    <w:p>
      <w:pPr>
        <w:pStyle w:val="ListParagraph"/>
        <w:numPr>
          <w:ilvl w:val="0"/>
          <w:numId w:val="1"/>
        </w:numPr>
        <w:spacing w:lineRule="atLeast" w:line="280" w:before="240" w:after="120"/>
        <w:contextualSpacing/>
        <w:rPr>
          <w:rFonts w:cs="Arial"/>
        </w:rPr>
      </w:pPr>
      <w:r>
        <w:rPr>
          <w:rFonts w:cs="Arial"/>
        </w:rPr>
        <w:t>A hagyományos beépítésű területeken épületeket az alábbiak betartása mellet lehet kialakítani:</w:t>
      </w:r>
    </w:p>
    <w:p>
      <w:pPr>
        <w:pStyle w:val="ListParagraph"/>
        <w:numPr>
          <w:ilvl w:val="1"/>
          <w:numId w:val="1"/>
        </w:numPr>
        <w:spacing w:lineRule="atLeast" w:line="280" w:before="240" w:after="120"/>
        <w:contextualSpacing/>
        <w:rPr>
          <w:rFonts w:cs="Arial"/>
        </w:rPr>
      </w:pPr>
      <w:r>
        <w:rPr>
          <w:rFonts w:cs="Arial"/>
        </w:rPr>
        <w:t xml:space="preserve"> </w:t>
      </w:r>
      <w:r>
        <w:rPr>
          <w:rFonts w:cs="Arial"/>
          <w:sz w:val="16"/>
          <w:szCs w:val="16"/>
        </w:rPr>
        <w:t xml:space="preserve">9 </w:t>
      </w:r>
    </w:p>
    <w:p>
      <w:pPr>
        <w:pStyle w:val="ListParagraph"/>
        <w:numPr>
          <w:ilvl w:val="1"/>
          <w:numId w:val="1"/>
        </w:numPr>
        <w:spacing w:lineRule="atLeast" w:line="280" w:before="240" w:after="120"/>
        <w:contextualSpacing/>
        <w:rPr>
          <w:rFonts w:cs="Arial"/>
        </w:rPr>
      </w:pPr>
      <w:r>
        <w:rPr>
          <w:rFonts w:cs="Arial"/>
        </w:rPr>
        <w:t>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contextualSpacing/>
        <w:rPr>
          <w:rFonts w:cs="Arial"/>
        </w:rPr>
      </w:pPr>
      <w:r>
        <w:rPr>
          <w:rFonts w:cs="Arial"/>
        </w:rPr>
        <w:t>Nyílászárók felújításakor, cseréjekor fa anyagút, de legalább fa mintázatút kell alkalmazni.</w:t>
      </w:r>
    </w:p>
    <w:p>
      <w:pPr>
        <w:pStyle w:val="Normal"/>
        <w:spacing w:lineRule="atLeast" w:line="280" w:before="240" w:after="120"/>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településképi szempontból meghatározó új beépítésű és sorházas területekre vonatkozó egyedi építészeti követelmények</w:t>
      </w:r>
    </w:p>
    <w:p>
      <w:pPr>
        <w:pStyle w:val="ListParagraph"/>
        <w:spacing w:lineRule="atLeast" w:line="280" w:before="240" w:after="120"/>
        <w:contextualSpacing/>
        <w:rPr>
          <w:rFonts w:cs="Arial"/>
          <w:b/>
          <w:b/>
        </w:rPr>
      </w:pPr>
      <w:r>
        <w:rPr>
          <w:rFonts w:cs="Arial"/>
          <w:b/>
        </w:rPr>
      </w:r>
    </w:p>
    <w:p>
      <w:pPr>
        <w:pStyle w:val="ListParagraph"/>
        <w:numPr>
          <w:ilvl w:val="0"/>
          <w:numId w:val="1"/>
        </w:numPr>
        <w:spacing w:lineRule="atLeast" w:line="280" w:before="240" w:after="120"/>
        <w:contextualSpacing/>
        <w:rPr>
          <w:rFonts w:cs="Arial"/>
        </w:rPr>
      </w:pPr>
      <w:r>
        <w:rPr>
          <w:rFonts w:cs="Arial"/>
        </w:rPr>
        <w:t>Az új beépítésű területeken épületeket az alábbiak betartása mellet lehet kialakítani:</w:t>
      </w:r>
    </w:p>
    <w:p>
      <w:pPr>
        <w:pStyle w:val="ListParagraph"/>
        <w:numPr>
          <w:ilvl w:val="1"/>
          <w:numId w:val="1"/>
        </w:numPr>
        <w:spacing w:lineRule="atLeast" w:line="280" w:before="240" w:after="120"/>
        <w:contextualSpacing/>
        <w:rPr>
          <w:rFonts w:cs="Arial"/>
        </w:rPr>
      </w:pPr>
      <w:r>
        <w:rPr>
          <w:rFonts w:cs="Arial"/>
        </w:rPr>
        <w:t>A magastető meredeksége 35</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takart módon el lehet helyezni.</w:t>
      </w:r>
    </w:p>
    <w:p>
      <w:pPr>
        <w:pStyle w:val="ListParagraph"/>
        <w:numPr>
          <w:ilvl w:val="1"/>
          <w:numId w:val="1"/>
        </w:numPr>
        <w:spacing w:lineRule="atLeast" w:line="280" w:before="120" w:after="0"/>
        <w:contextualSpacing/>
        <w:jc w:val="both"/>
        <w:rPr>
          <w:rFonts w:cs="Arial"/>
        </w:rPr>
      </w:pPr>
      <w:r>
        <w:rPr>
          <w:rFonts w:cs="Arial"/>
          <w:sz w:val="16"/>
          <w:szCs w:val="16"/>
        </w:rPr>
        <w:t>10</w:t>
      </w:r>
    </w:p>
    <w:p>
      <w:pPr>
        <w:pStyle w:val="ListParagraph"/>
        <w:spacing w:lineRule="atLeast" w:line="280" w:before="120" w:after="0"/>
        <w:ind w:left="567" w:hanging="0"/>
        <w:contextualSpacing/>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A helyi védett értékekre vonatkozó egyedi építészeti követelmények</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numPr>
          <w:ilvl w:val="1"/>
          <w:numId w:val="1"/>
        </w:numPr>
        <w:spacing w:lineRule="atLeast" w:line="280" w:before="120" w:after="0"/>
        <w:contextualSpacing/>
        <w:jc w:val="both"/>
        <w:rPr>
          <w:rFonts w:cs="Arial"/>
        </w:rPr>
      </w:pPr>
      <w:r>
        <w:rPr>
          <w:rFonts w:cs="Arial"/>
        </w:rPr>
        <w:t>Védett értékhez történő hozzáépítés, ráépítés, vagy annak telkén új építmény, építményrész építése nem sértheti a védett építészeti érték fennmaradását, érvényesülését, hitelességét.</w:t>
      </w:r>
    </w:p>
    <w:p>
      <w:pPr>
        <w:pStyle w:val="ListParagraph"/>
        <w:numPr>
          <w:ilvl w:val="1"/>
          <w:numId w:val="1"/>
        </w:numPr>
        <w:spacing w:lineRule="atLeast" w:line="280" w:before="120" w:after="0"/>
        <w:contextualSpacing/>
        <w:jc w:val="both"/>
        <w:rPr>
          <w:rFonts w:cs="Arial"/>
        </w:rPr>
      </w:pPr>
      <w:r>
        <w:rPr>
          <w:rFonts w:cs="Arial"/>
        </w:rPr>
        <w:t>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numPr>
          <w:ilvl w:val="1"/>
          <w:numId w:val="1"/>
        </w:numPr>
        <w:spacing w:lineRule="atLeast" w:line="280" w:before="120" w:after="0"/>
        <w:contextualSpacing/>
        <w:jc w:val="both"/>
        <w:rPr>
          <w:rFonts w:cs="Arial"/>
        </w:rPr>
      </w:pPr>
      <w:r>
        <w:rPr>
          <w:rFonts w:cs="Arial"/>
        </w:rPr>
        <w:t>A műszaki, gazdaságossági és funkcionális szempontból egyenértékű beavatkozások közül előnyben kell részesíteni a védett értékek fennmaradását, érvényesülését szolgáló megoldásokat.</w:t>
      </w:r>
    </w:p>
    <w:p>
      <w:pPr>
        <w:pStyle w:val="ListParagraph"/>
        <w:numPr>
          <w:ilvl w:val="1"/>
          <w:numId w:val="1"/>
        </w:numPr>
        <w:spacing w:lineRule="atLeast" w:line="280" w:before="120" w:after="0"/>
        <w:contextualSpacing/>
        <w:jc w:val="both"/>
        <w:rPr>
          <w:rFonts w:cs="Arial"/>
        </w:rPr>
      </w:pPr>
      <w:r>
        <w:rPr>
          <w:rFonts w:cs="Arial"/>
        </w:rPr>
        <w:t>Helyi értéken hirdetés, reklám nem helyezhető el, kivéve</w:t>
      </w:r>
    </w:p>
    <w:p>
      <w:pPr>
        <w:pStyle w:val="ListParagraph"/>
        <w:numPr>
          <w:ilvl w:val="2"/>
          <w:numId w:val="1"/>
        </w:numPr>
        <w:spacing w:lineRule="atLeast" w:line="280" w:before="120" w:after="0"/>
        <w:contextualSpacing/>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contextualSpacing/>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contextualSpacing/>
        <w:jc w:val="both"/>
        <w:rPr>
          <w:rFonts w:cs="Arial"/>
        </w:rPr>
      </w:pPr>
      <w:r>
        <w:rPr>
          <w:rFonts w:cs="Arial"/>
        </w:rPr>
        <w:t>időszaki kulturális rendezvény vagy program hirdetményét.</w:t>
      </w:r>
    </w:p>
    <w:p>
      <w:pPr>
        <w:pStyle w:val="ListParagraph"/>
        <w:numPr>
          <w:ilvl w:val="1"/>
          <w:numId w:val="1"/>
        </w:numPr>
        <w:spacing w:lineRule="atLeast" w:line="280" w:before="120" w:after="0"/>
        <w:contextualSpacing/>
        <w:jc w:val="both"/>
        <w:rPr>
          <w:rFonts w:cs="Arial"/>
        </w:rPr>
      </w:pPr>
      <w:r>
        <w:rPr>
          <w:rFonts w:cs="Arial"/>
        </w:rPr>
        <w:t>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contextualSpacing/>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contextualSpacing/>
        <w:jc w:val="both"/>
        <w:rPr>
          <w:rFonts w:cs="Arial"/>
        </w:rPr>
      </w:pPr>
      <w:r>
        <w:rPr>
          <w:rFonts w:cs="Arial"/>
        </w:rPr>
        <w:t>A védett érték alkotórésze, tartozéka, beépített berendezési tárgya – a kivitelezési, restaurálási munkák miatt szükséges ideiglenes eltávolítás kivételével – csak különösen indokolt esetben távolítható el vagy helyezhető át.</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Helyi egyedi védettségű építmény teljes egészében nem bontható.</w:t>
      </w:r>
    </w:p>
    <w:p>
      <w:pPr>
        <w:pStyle w:val="ListParagraph"/>
        <w:numPr>
          <w:ilvl w:val="1"/>
          <w:numId w:val="1"/>
        </w:numPr>
        <w:spacing w:lineRule="atLeast" w:line="280" w:before="120" w:after="0"/>
        <w:contextualSpacing/>
        <w:jc w:val="both"/>
        <w:rPr>
          <w:rFonts w:cs="Arial"/>
        </w:rPr>
      </w:pPr>
      <w:r>
        <w:rPr>
          <w:rFonts w:cs="Arial"/>
        </w:rPr>
        <w:t>Helyi egyedi védettségű építmény részlegesen akkor bontható, ha</w:t>
      </w:r>
    </w:p>
    <w:p>
      <w:pPr>
        <w:pStyle w:val="ListParagraph"/>
        <w:numPr>
          <w:ilvl w:val="2"/>
          <w:numId w:val="1"/>
        </w:numPr>
        <w:spacing w:lineRule="atLeast" w:line="280" w:before="120" w:after="0"/>
        <w:contextualSpacing/>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contextualSpacing/>
        <w:jc w:val="both"/>
        <w:rPr>
          <w:rFonts w:cs="Arial"/>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Helyi érték esetén az önkormányzat kötelezheti a tulajdonost</w:t>
      </w:r>
    </w:p>
    <w:p>
      <w:pPr>
        <w:pStyle w:val="ListParagraph"/>
        <w:numPr>
          <w:ilvl w:val="2"/>
          <w:numId w:val="1"/>
        </w:numPr>
        <w:spacing w:lineRule="atLeast" w:line="280" w:before="120" w:after="0"/>
        <w:contextualSpacing/>
        <w:jc w:val="both"/>
        <w:rPr>
          <w:rFonts w:cs="Arial"/>
        </w:rPr>
      </w:pPr>
      <w:r>
        <w:rPr>
          <w:rFonts w:cs="Arial"/>
        </w:rPr>
        <w:t>a védett értéket vagy látványát sértő, idegen részek eltávolítására,</w:t>
      </w:r>
    </w:p>
    <w:p>
      <w:pPr>
        <w:pStyle w:val="ListParagraph"/>
        <w:numPr>
          <w:ilvl w:val="2"/>
          <w:numId w:val="1"/>
        </w:numPr>
        <w:spacing w:lineRule="atLeast" w:line="280" w:before="120" w:after="0"/>
        <w:contextualSpacing/>
        <w:jc w:val="both"/>
        <w:rPr>
          <w:rFonts w:cs="Arial"/>
        </w:rPr>
      </w:pPr>
      <w:r>
        <w:rPr>
          <w:rFonts w:cs="Arial"/>
        </w:rPr>
        <w:t>a védett értékek jellegének kifejezésére, vagy hatásosabb érvényesülésére irányuló munkálatok elvégzésére.</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numPr>
          <w:ilvl w:val="1"/>
          <w:numId w:val="1"/>
        </w:numPr>
        <w:spacing w:lineRule="atLeast" w:line="280" w:before="120" w:after="0"/>
        <w:contextualSpacing/>
        <w:jc w:val="both"/>
        <w:rPr>
          <w:rFonts w:cs="Arial"/>
        </w:rPr>
      </w:pPr>
      <w:r>
        <w:rPr>
          <w:rFonts w:cs="Arial"/>
        </w:rPr>
        <w:t>A kiegészítő elemek, egyéb műszaki berendezések homlokzaton történő elhelyezése nem megengedett.</w:t>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IV. FEJEZET - EGYÉB TELEPÜLÉSKÉPI KÖVETELMÉNYEK</w:t>
      </w:r>
    </w:p>
    <w:p>
      <w:pPr>
        <w:pStyle w:val="ListParagraph"/>
        <w:numPr>
          <w:ilvl w:val="0"/>
          <w:numId w:val="2"/>
        </w:numPr>
        <w:spacing w:lineRule="atLeast" w:line="280" w:before="240" w:after="120"/>
        <w:contextualSpacing/>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1"/>
        </w:numPr>
        <w:spacing w:lineRule="auto" w:line="240" w:before="0" w:after="0"/>
        <w:contextualSpacing/>
        <w:rPr>
          <w:rFonts w:ascii="Calibri" w:hAnsi="Calibri" w:cs="Calibri"/>
        </w:rPr>
      </w:pPr>
      <w:r>
        <w:rPr>
          <w:rFonts w:cs="Calibri"/>
        </w:rPr>
      </w:r>
    </w:p>
    <w:p>
      <w:pPr>
        <w:pStyle w:val="ListParagraph"/>
        <w:numPr>
          <w:ilvl w:val="1"/>
          <w:numId w:val="1"/>
        </w:numPr>
        <w:spacing w:lineRule="auto" w:line="240" w:before="0" w:after="0"/>
        <w:contextualSpacing/>
        <w:rPr>
          <w:rFonts w:ascii="Calibri" w:hAnsi="Calibri" w:cs="Calibri"/>
        </w:rPr>
      </w:pPr>
      <w:r>
        <w:rPr>
          <w:rFonts w:cs="Calibri"/>
        </w:rPr>
        <w:t xml:space="preserve">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1"/>
          <w:numId w:val="1"/>
        </w:numPr>
        <w:spacing w:lineRule="auto" w:line="240" w:before="0" w:after="0"/>
        <w:contextualSpacing/>
        <w:rPr>
          <w:rFonts w:ascii="Calibri" w:hAnsi="Calibri" w:cs="Calibri"/>
        </w:rPr>
      </w:pPr>
      <w:r>
        <w:rPr>
          <w:rFonts w:cs="Calibri"/>
        </w:rPr>
        <w:t>Vezetékes elektronikus hírközlési hálózat föld alatt vagy meglévő oszlopsoron vezethető, új oszloplétesítése nem megengedett.</w:t>
      </w:r>
    </w:p>
    <w:p>
      <w:pPr>
        <w:pStyle w:val="ListParagraph"/>
        <w:numPr>
          <w:ilvl w:val="1"/>
          <w:numId w:val="1"/>
        </w:numPr>
        <w:spacing w:lineRule="auto" w:line="240" w:before="0" w:after="0"/>
        <w:contextualSpacing/>
        <w:rPr>
          <w:rFonts w:ascii="Calibri" w:hAnsi="Calibri" w:cs="Calibri"/>
        </w:rPr>
      </w:pPr>
      <w:r>
        <w:rPr>
          <w:rFonts w:cs="Calibri"/>
        </w:rPr>
        <w:t>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1"/>
          <w:numId w:val="1"/>
        </w:numPr>
        <w:spacing w:lineRule="auto" w:line="240" w:before="0" w:after="0"/>
        <w:contextualSpacing/>
        <w:rPr>
          <w:rFonts w:ascii="Calibri" w:hAnsi="Calibri" w:cs="Calibri"/>
        </w:rPr>
      </w:pPr>
      <w:r>
        <w:rPr>
          <w:rFonts w:cs="Calibri"/>
        </w:rPr>
        <w:t xml:space="preserve"> </w:t>
      </w:r>
      <w:r>
        <w:rPr>
          <w:rFonts w:cs="Calibri"/>
        </w:rPr>
        <w:t>Gáznyomás-szabályzók az épületek utcai homlokzatára nem helyezhetők el. A berendezés csak az előkertbe, az udvarra vagy az épület alárendeltebb homlokzatára helyezhető.</w:t>
      </w:r>
    </w:p>
    <w:p>
      <w:pPr>
        <w:pStyle w:val="ListParagraph"/>
        <w:numPr>
          <w:ilvl w:val="1"/>
          <w:numId w:val="1"/>
        </w:numPr>
        <w:spacing w:lineRule="auto" w:line="240" w:before="0" w:after="0"/>
        <w:contextualSpacing/>
        <w:rPr>
          <w:rFonts w:ascii="Calibri" w:hAnsi="Calibri" w:cs="Calibri"/>
        </w:rPr>
      </w:pPr>
      <w:r>
        <w:rPr>
          <w:rFonts w:cs="Calibri"/>
        </w:rPr>
        <w:t>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1"/>
          <w:numId w:val="1"/>
        </w:numPr>
        <w:spacing w:lineRule="auto" w:line="240" w:before="0" w:after="0"/>
        <w:contextualSpacing/>
        <w:rPr>
          <w:rFonts w:ascii="Calibri" w:hAnsi="Calibri" w:cs="Calibri"/>
        </w:rPr>
      </w:pPr>
      <w:r>
        <w:rPr>
          <w:rFonts w:cs="Calibri"/>
        </w:rPr>
        <w:t>Önálló antennatartó szerkezet (torony) és lakóterület között legalább 500 méteres távolságnak kell lennie.</w:t>
      </w:r>
    </w:p>
    <w:p>
      <w:pPr>
        <w:pStyle w:val="ListParagraph"/>
        <w:numPr>
          <w:ilvl w:val="0"/>
          <w:numId w:val="1"/>
        </w:numPr>
        <w:spacing w:lineRule="auto" w:line="240" w:before="0" w:after="0"/>
        <w:contextualSpacing/>
        <w:rPr>
          <w:rFonts w:ascii="Calibri" w:hAnsi="Calibri" w:cs="Calibri"/>
        </w:rPr>
      </w:pPr>
      <w:r>
        <w:rPr>
          <w:rFonts w:cs="Calibri"/>
        </w:rPr>
      </w:r>
    </w:p>
    <w:p>
      <w:pPr>
        <w:pStyle w:val="ListParagraph"/>
        <w:numPr>
          <w:ilvl w:val="1"/>
          <w:numId w:val="1"/>
        </w:numPr>
        <w:spacing w:lineRule="auto" w:line="240" w:before="0" w:after="0"/>
        <w:contextualSpacing/>
        <w:rPr>
          <w:rFonts w:ascii="Calibri" w:hAnsi="Calibri" w:cs="Calibri"/>
        </w:rPr>
      </w:pPr>
      <w:r>
        <w:rPr>
          <w:rFonts w:cs="Calibri"/>
        </w:rPr>
        <w:t>Az utcai homlokzatokon kívül a homlokzati napelemeket úgy kell elhelyezni, hogy azok igazodjanak az épület nyílásméretéhez, kiosztásához.</w:t>
      </w:r>
    </w:p>
    <w:p>
      <w:pPr>
        <w:pStyle w:val="ListParagraph"/>
        <w:numPr>
          <w:ilvl w:val="1"/>
          <w:numId w:val="1"/>
        </w:numPr>
        <w:spacing w:lineRule="auto" w:line="240" w:before="0" w:after="0"/>
        <w:contextualSpacing/>
        <w:rPr>
          <w:rFonts w:ascii="Calibri" w:hAnsi="Calibri" w:cs="Calibri"/>
        </w:rPr>
      </w:pPr>
      <w:r>
        <w:rPr>
          <w:rFonts w:cs="Calibri"/>
        </w:rPr>
        <w:t>Magastetős épület esetén táblás napelemeket/napkollektorokat a tető lejtésével párhuzamosan úgy kell elhelyezni, hogy</w:t>
      </w:r>
    </w:p>
    <w:p>
      <w:pPr>
        <w:pStyle w:val="ListParagraph"/>
        <w:numPr>
          <w:ilvl w:val="2"/>
          <w:numId w:val="1"/>
        </w:numPr>
        <w:spacing w:lineRule="auto" w:line="240" w:before="0" w:after="0"/>
        <w:contextualSpacing/>
        <w:rPr>
          <w:rFonts w:ascii="Calibri" w:hAnsi="Calibri" w:cs="Calibri"/>
        </w:rPr>
      </w:pPr>
      <w:r>
        <w:rPr>
          <w:rFonts w:cs="Calibri"/>
        </w:rPr>
        <w:t>azok a tetőszélein, gerincén ne lógjanak túl,</w:t>
      </w:r>
    </w:p>
    <w:p>
      <w:pPr>
        <w:pStyle w:val="ListParagraph"/>
        <w:numPr>
          <w:ilvl w:val="2"/>
          <w:numId w:val="1"/>
        </w:numPr>
        <w:spacing w:lineRule="auto" w:line="240" w:before="0" w:after="0"/>
        <w:contextualSpacing/>
        <w:rPr>
          <w:rFonts w:ascii="Calibri" w:hAnsi="Calibri" w:cs="Calibri"/>
        </w:rPr>
      </w:pPr>
      <w:r>
        <w:rPr>
          <w:rFonts w:cs="Calibri"/>
        </w:rPr>
        <w:t>legfeljebb 2 sort alkossanak,</w:t>
      </w:r>
    </w:p>
    <w:p>
      <w:pPr>
        <w:pStyle w:val="ListParagraph"/>
        <w:numPr>
          <w:ilvl w:val="2"/>
          <w:numId w:val="1"/>
        </w:numPr>
        <w:spacing w:lineRule="auto" w:line="240" w:before="0" w:after="0"/>
        <w:contextualSpacing/>
        <w:rPr>
          <w:rFonts w:ascii="Calibri" w:hAnsi="Calibri" w:cs="Calibri"/>
        </w:rPr>
      </w:pPr>
      <w:r>
        <w:rPr>
          <w:rFonts w:cs="Calibri"/>
        </w:rPr>
        <w:t>széleik igazodjanak egymáshoz és a tetősík ablakaihoz,</w:t>
      </w:r>
    </w:p>
    <w:p>
      <w:pPr>
        <w:pStyle w:val="ListParagraph"/>
        <w:numPr>
          <w:ilvl w:val="2"/>
          <w:numId w:val="1"/>
        </w:numPr>
        <w:spacing w:lineRule="auto" w:line="240" w:before="0" w:after="0"/>
        <w:contextualSpacing/>
        <w:rPr>
          <w:rFonts w:ascii="Calibri" w:hAnsi="Calibri" w:cs="Calibri"/>
        </w:rPr>
      </w:pPr>
      <w:r>
        <w:rPr>
          <w:rFonts w:cs="Calibri"/>
        </w:rPr>
        <w:t>legfeljebb az adott tetősík 50%-át fedheti le.</w:t>
      </w:r>
    </w:p>
    <w:p>
      <w:pPr>
        <w:pStyle w:val="ListParagraph"/>
        <w:numPr>
          <w:ilvl w:val="1"/>
          <w:numId w:val="1"/>
        </w:numPr>
        <w:spacing w:lineRule="auto" w:line="240" w:before="0" w:after="0"/>
        <w:contextualSpacing/>
        <w:rPr>
          <w:rFonts w:ascii="Calibri" w:hAnsi="Calibri" w:cs="Calibri"/>
        </w:rPr>
      </w:pPr>
      <w:r>
        <w:rPr>
          <w:rFonts w:cs="Calibri"/>
        </w:rPr>
        <w:t>Közterülettel határos 5 méteres teleksávon kívül elhelyezett melléképület teljes tetőfelülete táblás napelemmel/napkollektorral lefedhető.</w:t>
      </w:r>
    </w:p>
    <w:p>
      <w:pPr>
        <w:pStyle w:val="ListParagraph"/>
        <w:numPr>
          <w:ilvl w:val="1"/>
          <w:numId w:val="1"/>
        </w:numPr>
        <w:spacing w:lineRule="auto" w:line="240" w:before="0" w:after="0"/>
        <w:contextualSpacing/>
        <w:rPr>
          <w:rFonts w:ascii="Calibri" w:hAnsi="Calibri" w:cs="Calibri"/>
        </w:rPr>
      </w:pPr>
      <w:r>
        <w:rPr>
          <w:rFonts w:cs="Calibri"/>
        </w:rPr>
        <w:t>Napelemcserép a tető teljes felületén alkalmazható.</w:t>
      </w:r>
    </w:p>
    <w:p>
      <w:pPr>
        <w:pStyle w:val="Normal"/>
        <w:spacing w:lineRule="atLeast" w:line="280" w:before="120" w:after="0"/>
        <w:ind w:left="709" w:hanging="283"/>
        <w:jc w:val="both"/>
        <w:rPr>
          <w:rFonts w:ascii="Calibri" w:hAnsi="Calibri"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V. FEJEZET - REKLÁMHORDOZÓKRA ÉS EGYÉB MŰSZAKI BERENDEZÉSEKRE VONATKOZÓ TELEPÜLÉSKÉPI KÖVETELMÉNYEK</w:t>
      </w:r>
    </w:p>
    <w:p>
      <w:pPr>
        <w:pStyle w:val="ListParagraph"/>
        <w:numPr>
          <w:ilvl w:val="0"/>
          <w:numId w:val="2"/>
        </w:numPr>
        <w:spacing w:lineRule="atLeast" w:line="280" w:before="240" w:after="120"/>
        <w:contextualSpacing/>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rFonts w:cs="Calibri"/>
        </w:rPr>
      </w:pPr>
      <w:r>
        <w:rPr>
          <w:rFonts w:cs="Calibri"/>
        </w:rPr>
      </w:r>
    </w:p>
    <w:p>
      <w:pPr>
        <w:pStyle w:val="ListParagraph"/>
        <w:numPr>
          <w:ilvl w:val="0"/>
          <w:numId w:val="1"/>
        </w:numPr>
        <w:spacing w:lineRule="atLeast" w:line="280" w:before="120" w:after="0"/>
        <w:contextualSpacing/>
        <w:jc w:val="both"/>
        <w:rPr>
          <w:rFonts w:cs="Calibri"/>
        </w:rPr>
      </w:pPr>
      <w:r>
        <w:rPr>
          <w:rFonts w:cs="Calibri"/>
        </w:rPr>
      </w:r>
    </w:p>
    <w:p>
      <w:pPr>
        <w:pStyle w:val="ListParagraph"/>
        <w:numPr>
          <w:ilvl w:val="1"/>
          <w:numId w:val="1"/>
        </w:numPr>
        <w:spacing w:lineRule="atLeast" w:line="280" w:before="120" w:after="0"/>
        <w:contextualSpacing/>
        <w:jc w:val="both"/>
        <w:rPr>
          <w:rFonts w:cs="Calibri"/>
        </w:rPr>
      </w:pPr>
      <w:r>
        <w:rPr>
          <w:rFonts w:cs="Calibri"/>
        </w:rPr>
        <w:t>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numPr>
          <w:ilvl w:val="1"/>
          <w:numId w:val="1"/>
        </w:numPr>
        <w:spacing w:lineRule="atLeast" w:line="280" w:before="120" w:after="0"/>
        <w:contextualSpacing/>
        <w:jc w:val="both"/>
        <w:rPr>
          <w:rFonts w:cs="Calibri"/>
        </w:rPr>
      </w:pPr>
      <w:r>
        <w:rPr>
          <w:rFonts w:cs="Calibri"/>
        </w:rPr>
        <w:t>Tetőfelületre cégér nem helyezhető el.</w:t>
      </w:r>
    </w:p>
    <w:p>
      <w:pPr>
        <w:pStyle w:val="ListParagraph"/>
        <w:numPr>
          <w:ilvl w:val="1"/>
          <w:numId w:val="1"/>
        </w:numPr>
        <w:spacing w:lineRule="atLeast" w:line="280" w:before="120" w:after="0"/>
        <w:contextualSpacing/>
        <w:jc w:val="both"/>
        <w:rPr>
          <w:rFonts w:cs="Calibri"/>
        </w:rPr>
      </w:pPr>
      <w:r>
        <w:rPr>
          <w:rFonts w:cs="Calibri"/>
        </w:rPr>
        <w:t>Épületek homlokzataira kerülő cég- és címtábla, információs vagy más célú berendezés épületdíszítő tagozatot nem takarhat el.</w:t>
      </w:r>
    </w:p>
    <w:p>
      <w:pPr>
        <w:pStyle w:val="ListParagraph"/>
        <w:numPr>
          <w:ilvl w:val="1"/>
          <w:numId w:val="1"/>
        </w:numPr>
        <w:spacing w:lineRule="atLeast" w:line="280" w:before="120" w:after="0"/>
        <w:contextualSpacing/>
        <w:jc w:val="both"/>
        <w:rPr>
          <w:rFonts w:cs="Calibri"/>
        </w:rPr>
      </w:pPr>
      <w:r>
        <w:rPr>
          <w:rFonts w:cs="Calibri"/>
        </w:rPr>
        <w:t>Közterületről látható épületek egy-egy homlokzatának 5%-ánál nagyobb felületén nem helyezhető el cég- és címtábla, információs, vagy más célú berendezés.</w:t>
      </w:r>
    </w:p>
    <w:p>
      <w:pPr>
        <w:pStyle w:val="ListParagraph"/>
        <w:numPr>
          <w:ilvl w:val="1"/>
          <w:numId w:val="1"/>
        </w:numPr>
        <w:spacing w:lineRule="atLeast" w:line="280" w:before="120" w:after="0"/>
        <w:contextualSpacing/>
        <w:jc w:val="both"/>
        <w:rPr>
          <w:rFonts w:cs="Calibri"/>
        </w:rPr>
      </w:pPr>
      <w:r>
        <w:rPr>
          <w:rFonts w:cs="Calibri"/>
        </w:rPr>
        <w:t>Információs vagy más célú berendezés, amennyiben reklámot is tartalmaz:</w:t>
      </w:r>
    </w:p>
    <w:p>
      <w:pPr>
        <w:pStyle w:val="ListParagraph"/>
        <w:numPr>
          <w:ilvl w:val="2"/>
          <w:numId w:val="1"/>
        </w:numPr>
        <w:spacing w:lineRule="atLeast" w:line="280" w:before="120" w:after="0"/>
        <w:contextualSpacing/>
        <w:jc w:val="both"/>
        <w:rPr>
          <w:rFonts w:cs="Calibri"/>
        </w:rPr>
      </w:pPr>
      <w:r>
        <w:rPr>
          <w:rFonts w:cs="Calibri"/>
        </w:rPr>
        <w:t>előkertben nem helyezhető el,</w:t>
      </w:r>
    </w:p>
    <w:p>
      <w:pPr>
        <w:pStyle w:val="ListParagraph"/>
        <w:numPr>
          <w:ilvl w:val="2"/>
          <w:numId w:val="1"/>
        </w:numPr>
        <w:spacing w:lineRule="atLeast" w:line="280" w:before="120" w:after="0"/>
        <w:contextualSpacing/>
        <w:jc w:val="both"/>
        <w:rPr>
          <w:rFonts w:cs="Calibri"/>
        </w:rPr>
      </w:pPr>
      <w:r>
        <w:rPr>
          <w:rFonts w:cs="Calibri"/>
        </w:rPr>
        <w:t xml:space="preserve">A1-es ívméretet (840x597 mm) meghaladó mérettel nem helyezhető el a </w:t>
      </w:r>
      <w:r>
        <w:rPr>
          <w:rFonts w:cs="Calibri-Italic"/>
          <w:iCs/>
        </w:rPr>
        <w:t>beépítésre szánt területeken.</w:t>
      </w:r>
    </w:p>
    <w:p>
      <w:pPr>
        <w:pStyle w:val="ListParagraph"/>
        <w:numPr>
          <w:ilvl w:val="0"/>
          <w:numId w:val="1"/>
        </w:numPr>
        <w:spacing w:lineRule="atLeast" w:line="280" w:before="120" w:after="0"/>
        <w:contextualSpacing/>
        <w:jc w:val="both"/>
        <w:rPr>
          <w:rFonts w:cs="Calibri"/>
        </w:rPr>
      </w:pPr>
      <w:r>
        <w:rPr>
          <w:rFonts w:cs="Calibri"/>
        </w:rPr>
      </w:r>
    </w:p>
    <w:p>
      <w:pPr>
        <w:pStyle w:val="ListParagraph"/>
        <w:numPr>
          <w:ilvl w:val="1"/>
          <w:numId w:val="1"/>
        </w:numPr>
        <w:spacing w:lineRule="atLeast" w:line="280" w:before="120" w:after="0"/>
        <w:contextualSpacing/>
        <w:jc w:val="both"/>
        <w:rPr>
          <w:rFonts w:cs="Calibri"/>
        </w:rPr>
      </w:pPr>
      <w:r>
        <w:rPr>
          <w:rFonts w:cs="Calibri"/>
        </w:rPr>
        <w:t>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numPr>
          <w:ilvl w:val="1"/>
          <w:numId w:val="1"/>
        </w:numPr>
        <w:spacing w:lineRule="atLeast" w:line="280" w:before="120" w:after="0"/>
        <w:contextualSpacing/>
        <w:jc w:val="both"/>
        <w:rPr>
          <w:rFonts w:cs="Calibri"/>
        </w:rPr>
      </w:pPr>
      <w:r>
        <w:rPr>
          <w:rFonts w:cs="Calibri"/>
        </w:rPr>
        <w:t>Háromdimenziós reklámtárgyakat elhelyezni nem lehet.</w:t>
      </w:r>
    </w:p>
    <w:p>
      <w:pPr>
        <w:pStyle w:val="ListParagraph"/>
        <w:numPr>
          <w:ilvl w:val="1"/>
          <w:numId w:val="1"/>
        </w:numPr>
        <w:spacing w:lineRule="atLeast" w:line="280" w:before="120" w:after="0"/>
        <w:contextualSpacing/>
        <w:jc w:val="both"/>
        <w:rPr>
          <w:rFonts w:cs="Calibri"/>
        </w:rPr>
      </w:pPr>
      <w:r>
        <w:rPr>
          <w:rFonts w:cs="Calibri"/>
        </w:rPr>
        <w:t xml:space="preserve">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numPr>
          <w:ilvl w:val="1"/>
          <w:numId w:val="1"/>
        </w:numPr>
        <w:spacing w:lineRule="atLeast" w:line="280" w:before="120" w:after="0"/>
        <w:contextualSpacing/>
        <w:jc w:val="both"/>
        <w:rPr>
          <w:rFonts w:cs="Calibri"/>
        </w:rPr>
      </w:pPr>
      <w:r>
        <w:rPr>
          <w:rFonts w:cs="Calibri"/>
        </w:rPr>
        <w:t>Üzlethelyiségenként legfeljebb egy mobiltábla helyezhető el a közterületen, mely az üzletkirakatától maximum 1,5 méterre állhat, a gyalogosforgalmat nem akadályozó módon.</w:t>
      </w:r>
    </w:p>
    <w:p>
      <w:pPr>
        <w:pStyle w:val="ListParagraph"/>
        <w:numPr>
          <w:ilvl w:val="1"/>
          <w:numId w:val="1"/>
        </w:numPr>
        <w:spacing w:lineRule="atLeast" w:line="280" w:before="120" w:after="0"/>
        <w:contextualSpacing/>
        <w:jc w:val="both"/>
        <w:rPr>
          <w:rFonts w:cs="Calibri"/>
        </w:rPr>
      </w:pPr>
      <w:r>
        <w:rPr>
          <w:rFonts w:cs="Calibri"/>
        </w:rPr>
        <w:t>A helyi területi és egyedi védelemmel érintett épületek közterületi homlokzati vonala előtt utcabútoron reklámhordozót elhelyezni nem lehet.</w:t>
      </w:r>
    </w:p>
    <w:p>
      <w:pPr>
        <w:pStyle w:val="ListParagraph"/>
        <w:numPr>
          <w:ilvl w:val="1"/>
          <w:numId w:val="1"/>
        </w:numPr>
        <w:spacing w:lineRule="atLeast" w:line="280" w:before="120" w:after="0"/>
        <w:contextualSpacing/>
        <w:jc w:val="both"/>
        <w:rPr>
          <w:rFonts w:cs="Calibri"/>
        </w:rPr>
      </w:pPr>
      <w:r>
        <w:rPr>
          <w:rFonts w:cs="Calibri"/>
        </w:rPr>
        <w:t>Molinó kizárólag építkezés védőhálójára tehető ki, illetve időszakos rendezvény népszerűsítésére, szabadtéri, időszaki kiállítás prezentálására használható.</w:t>
      </w:r>
    </w:p>
    <w:p>
      <w:pPr>
        <w:pStyle w:val="Normal"/>
        <w:spacing w:lineRule="atLeast" w:line="280" w:before="120" w:after="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contextualSpacing/>
        <w:jc w:val="center"/>
        <w:rPr>
          <w:rFonts w:cs="Arial"/>
          <w:b/>
          <w:b/>
        </w:rPr>
      </w:pPr>
      <w:r>
        <w:rPr>
          <w:rFonts w:cs="Arial"/>
          <w:b/>
        </w:rPr>
        <w:t xml:space="preserve">Szakmai konzultáció </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Az építtető köteles szakmai konzultációt kérni Pápakovácsi polgármesterétől</w:t>
      </w:r>
    </w:p>
    <w:p>
      <w:pPr>
        <w:pStyle w:val="ListParagraph"/>
        <w:numPr>
          <w:ilvl w:val="2"/>
          <w:numId w:val="1"/>
        </w:numPr>
        <w:spacing w:lineRule="atLeast" w:line="280" w:before="120" w:after="0"/>
        <w:contextualSpacing/>
        <w:jc w:val="both"/>
        <w:rPr>
          <w:rFonts w:cs="Arial"/>
        </w:rPr>
      </w:pPr>
      <w:r>
        <w:rPr>
          <w:rFonts w:cs="Arial"/>
        </w:rPr>
        <w:t xml:space="preserve">településképi bejelentés köteles eljárást, </w:t>
      </w:r>
    </w:p>
    <w:p>
      <w:pPr>
        <w:pStyle w:val="ListParagraph"/>
        <w:numPr>
          <w:ilvl w:val="2"/>
          <w:numId w:val="1"/>
        </w:numPr>
        <w:spacing w:lineRule="atLeast" w:line="280" w:before="120" w:after="0"/>
        <w:contextualSpacing/>
        <w:jc w:val="both"/>
        <w:rPr>
          <w:rFonts w:cs="Arial"/>
        </w:rPr>
      </w:pPr>
      <w:r>
        <w:rPr>
          <w:rFonts w:cs="Arial"/>
        </w:rPr>
        <w:t>lakóépület építésének egyszerű bejelentésével megvalósuló beruházást megelőzően.</w:t>
      </w:r>
    </w:p>
    <w:p>
      <w:pPr>
        <w:pStyle w:val="ListParagraph"/>
        <w:numPr>
          <w:ilvl w:val="1"/>
          <w:numId w:val="1"/>
        </w:numPr>
        <w:spacing w:lineRule="atLeast" w:line="280" w:before="120" w:after="0"/>
        <w:contextualSpacing/>
        <w:jc w:val="both"/>
        <w:rPr>
          <w:rFonts w:cs="Arial"/>
        </w:rPr>
      </w:pPr>
      <w:r>
        <w:rPr>
          <w:rFonts w:cs="Arial"/>
        </w:rPr>
        <w:t>Az építtető köteles szakmai konzultációt kérni Pápakovácsi polgármesterétől bármely építési/bontási munka esetén, ha a tervezett építési tevékenység</w:t>
      </w:r>
    </w:p>
    <w:p>
      <w:pPr>
        <w:pStyle w:val="ListParagraph"/>
        <w:numPr>
          <w:ilvl w:val="2"/>
          <w:numId w:val="1"/>
        </w:numPr>
        <w:spacing w:lineRule="atLeast" w:line="280" w:before="120" w:after="0"/>
        <w:contextualSpacing/>
        <w:jc w:val="both"/>
        <w:rPr>
          <w:rFonts w:cs="Arial"/>
        </w:rPr>
      </w:pPr>
      <w:r>
        <w:rPr>
          <w:rFonts w:cs="Arial"/>
        </w:rPr>
        <w:t>helyi védett értéket érint,</w:t>
      </w:r>
    </w:p>
    <w:p>
      <w:pPr>
        <w:pStyle w:val="ListParagraph"/>
        <w:numPr>
          <w:ilvl w:val="2"/>
          <w:numId w:val="1"/>
        </w:numPr>
        <w:spacing w:lineRule="atLeast" w:line="280" w:before="120" w:after="0"/>
        <w:contextualSpacing/>
        <w:jc w:val="both"/>
        <w:rPr>
          <w:rFonts w:cs="Arial"/>
        </w:rPr>
      </w:pPr>
      <w:r>
        <w:rPr>
          <w:rFonts w:cs="Arial"/>
        </w:rPr>
        <w:t>a lakóépület egyszerű bejelentéséről szóló Korm. rendelet hatálya alá tartozik,</w:t>
      </w:r>
    </w:p>
    <w:p>
      <w:pPr>
        <w:pStyle w:val="ListParagraph"/>
        <w:numPr>
          <w:ilvl w:val="2"/>
          <w:numId w:val="1"/>
        </w:numPr>
        <w:spacing w:lineRule="atLeast" w:line="280" w:before="120" w:after="0"/>
        <w:contextualSpacing/>
        <w:jc w:val="both"/>
        <w:rPr>
          <w:rFonts w:cs="Arial"/>
        </w:rPr>
      </w:pPr>
      <w:r>
        <w:rPr>
          <w:rFonts w:cs="Arial"/>
        </w:rPr>
        <w:t>építési engedély köteles tevékenységek esetén.</w:t>
      </w:r>
    </w:p>
    <w:p>
      <w:pPr>
        <w:pStyle w:val="ListParagraph"/>
        <w:numPr>
          <w:ilvl w:val="0"/>
          <w:numId w:val="1"/>
        </w:numPr>
        <w:spacing w:lineRule="atLeast" w:line="280" w:before="120" w:after="0"/>
        <w:contextualSpacing/>
        <w:jc w:val="both"/>
        <w:rPr>
          <w:rFonts w:cs="Arial"/>
        </w:rPr>
      </w:pPr>
      <w:r>
        <w:rPr>
          <w:rFonts w:cs="Arial"/>
        </w:rPr>
      </w:r>
    </w:p>
    <w:p>
      <w:pPr>
        <w:pStyle w:val="ListParagraph"/>
        <w:numPr>
          <w:ilvl w:val="1"/>
          <w:numId w:val="1"/>
        </w:numPr>
        <w:spacing w:lineRule="atLeast" w:line="280" w:before="120" w:after="0"/>
        <w:contextualSpacing/>
        <w:jc w:val="both"/>
        <w:rPr>
          <w:rFonts w:cs="Arial"/>
        </w:rPr>
      </w:pPr>
      <w:r>
        <w:rPr>
          <w:rFonts w:cs="Arial"/>
        </w:rPr>
        <w:t>A szakmai konzultációt a polgármester, vagy az általa megbízott főépítész folytatja le a tervezés kezdeti, vagy az azt megelőző szakaszában.</w:t>
      </w:r>
    </w:p>
    <w:p>
      <w:pPr>
        <w:pStyle w:val="ListParagraph"/>
        <w:numPr>
          <w:ilvl w:val="1"/>
          <w:numId w:val="1"/>
        </w:numPr>
        <w:spacing w:lineRule="atLeast" w:line="280" w:before="120" w:after="0"/>
        <w:contextualSpacing/>
        <w:jc w:val="both"/>
        <w:rPr>
          <w:rFonts w:cs="Arial"/>
        </w:rPr>
      </w:pPr>
      <w:r>
        <w:rPr>
          <w:rFonts w:cs="Arial"/>
        </w:rPr>
        <w:t>A szakmai konzultáció során a polgármester vagy az általa megbízott főépítész javaslatot tehet a településképi követelmények érvényesítésének módjára.</w:t>
      </w:r>
    </w:p>
    <w:p>
      <w:pPr>
        <w:pStyle w:val="ListParagraph"/>
        <w:numPr>
          <w:ilvl w:val="1"/>
          <w:numId w:val="1"/>
        </w:numPr>
        <w:spacing w:lineRule="atLeast" w:line="280" w:before="120" w:after="0"/>
        <w:contextualSpacing/>
        <w:jc w:val="both"/>
        <w:rPr>
          <w:rFonts w:cs="Arial"/>
        </w:rPr>
      </w:pPr>
      <w:r>
        <w:rPr>
          <w:rFonts w:cs="Arial"/>
        </w:rPr>
        <w:t xml:space="preserve">A konzultációról emlékeztető készül, és a polgármester aláírva az ügyfélnek és a tervezőnek 15 napon belül postai úton, vagy elektronikus üzenetben megküldi. </w:t>
      </w:r>
    </w:p>
    <w:p>
      <w:pPr>
        <w:pStyle w:val="ListParagraph"/>
        <w:numPr>
          <w:ilvl w:val="1"/>
          <w:numId w:val="1"/>
        </w:numPr>
        <w:spacing w:lineRule="atLeast" w:line="280" w:before="120" w:after="0"/>
        <w:contextualSpacing/>
        <w:jc w:val="both"/>
        <w:rPr>
          <w:rFonts w:cs="Arial"/>
        </w:rPr>
      </w:pPr>
      <w:r>
        <w:rPr>
          <w:rFonts w:cs="Arial"/>
        </w:rPr>
        <w:t>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numPr>
          <w:ilvl w:val="1"/>
          <w:numId w:val="1"/>
        </w:numPr>
        <w:spacing w:lineRule="atLeast" w:line="280" w:before="120" w:after="0"/>
        <w:contextualSpacing/>
        <w:jc w:val="both"/>
        <w:rPr>
          <w:rFonts w:cs="Arial"/>
        </w:rPr>
      </w:pPr>
      <w:r>
        <w:rPr>
          <w:rFonts w:cs="Calibri"/>
        </w:rPr>
        <w:t xml:space="preserve">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contextualSpacing/>
        <w:jc w:val="both"/>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 xml:space="preserve">Településképi bejelentési eljárás </w:t>
      </w:r>
    </w:p>
    <w:p>
      <w:pPr>
        <w:pStyle w:val="ListParagraph"/>
        <w:numPr>
          <w:ilvl w:val="0"/>
          <w:numId w:val="1"/>
        </w:numPr>
        <w:spacing w:lineRule="atLeast" w:line="280" w:before="120" w:after="0"/>
        <w:contextualSpacing/>
        <w:jc w:val="both"/>
        <w:rPr>
          <w:rFonts w:cs="Arial"/>
          <w:i/>
          <w:i/>
          <w:iCs/>
        </w:rPr>
      </w:pPr>
      <w:r>
        <w:rPr>
          <w:rFonts w:cs="Arial"/>
          <w:i/>
          <w:iCs/>
        </w:rPr>
      </w:r>
    </w:p>
    <w:p>
      <w:pPr>
        <w:pStyle w:val="ListParagraph"/>
        <w:numPr>
          <w:ilvl w:val="1"/>
          <w:numId w:val="1"/>
        </w:numPr>
        <w:spacing w:lineRule="atLeast" w:line="280" w:before="120" w:after="0"/>
        <w:contextualSpacing/>
        <w:jc w:val="both"/>
        <w:rPr>
          <w:rFonts w:cs="Arial"/>
          <w:iCs/>
        </w:rPr>
      </w:pPr>
      <w:r>
        <w:rPr>
          <w:rFonts w:cs="Arial"/>
        </w:rPr>
        <w:t>Településképi bejelentési eljárást kell lefolytatni a külön jogszabály szerinti, építési engedély nélkül végezhető építési munkák közül:</w:t>
      </w:r>
    </w:p>
    <w:p>
      <w:pPr>
        <w:pStyle w:val="ListParagraph"/>
        <w:numPr>
          <w:ilvl w:val="2"/>
          <w:numId w:val="1"/>
        </w:numPr>
        <w:spacing w:lineRule="atLeast" w:line="280" w:before="120" w:after="0"/>
        <w:contextualSpacing/>
        <w:jc w:val="both"/>
        <w:rPr>
          <w:rFonts w:cs="Arial"/>
          <w:iCs/>
        </w:rPr>
      </w:pPr>
      <w:r>
        <w:rPr>
          <w:rFonts w:cs="Helvetica"/>
        </w:rPr>
        <w:t>épületben az önálló rendeltetési egységek számának változtatása,</w:t>
      </w:r>
    </w:p>
    <w:p>
      <w:pPr>
        <w:pStyle w:val="ListParagraph"/>
        <w:numPr>
          <w:ilvl w:val="2"/>
          <w:numId w:val="1"/>
        </w:numPr>
        <w:spacing w:lineRule="atLeast" w:line="280" w:before="120" w:after="0"/>
        <w:contextualSpacing/>
        <w:jc w:val="both"/>
        <w:rPr>
          <w:rFonts w:cs="Arial"/>
          <w:iCs/>
        </w:rPr>
      </w:pPr>
      <w:r>
        <w:rPr>
          <w:rFonts w:cs="Helvetica"/>
        </w:rPr>
        <w:t>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28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shd w:val="clear" w:color="auto" w:fill="FFFFFF"/>
        <w:spacing w:lineRule="atLeast" w:line="280" w:beforeAutospacing="0" w:before="28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0"/>
          <w:numId w:val="1"/>
        </w:numPr>
        <w:shd w:val="clear" w:color="auto" w:fill="FFFFFF"/>
        <w:spacing w:lineRule="atLeast" w:line="280" w:beforeAutospacing="0" w:before="280" w:afterAutospacing="0" w:after="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1"/>
          <w:numId w:val="1"/>
        </w:numPr>
        <w:shd w:val="clear" w:color="auto" w:fill="FFFFFF"/>
        <w:spacing w:lineRule="atLeast" w:line="280" w:beforeAutospacing="0" w:before="280" w:afterAutospacing="0" w:after="0"/>
        <w:jc w:val="both"/>
        <w:rPr>
          <w:rFonts w:ascii="Calibri" w:hAnsi="Calibri" w:cs="Helvetica" w:asciiTheme="minorHAnsi" w:hAnsiTheme="minorHAnsi"/>
          <w:sz w:val="22"/>
          <w:szCs w:val="22"/>
        </w:rPr>
      </w:pPr>
      <w:r>
        <w:rPr>
          <w:rFonts w:cs="Arial" w:ascii="Calibri" w:hAnsi="Calibri" w:asciiTheme="minorHAnsi" w:hAnsiTheme="minorHAnsi"/>
        </w:rPr>
        <w:t>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2"/>
          <w:numId w:val="1"/>
        </w:numPr>
        <w:shd w:val="clear" w:color="auto" w:fill="FFFFFF"/>
        <w:spacing w:lineRule="atLeast" w:line="280" w:beforeAutospacing="0" w:before="280" w:afterAutospacing="0" w:after="0"/>
        <w:jc w:val="both"/>
        <w:rPr>
          <w:rFonts w:ascii="Calibri" w:hAnsi="Calibri" w:cs="Helvetica" w:asciiTheme="minorHAnsi" w:hAnsiTheme="minorHAnsi"/>
          <w:sz w:val="22"/>
          <w:szCs w:val="22"/>
        </w:rPr>
      </w:pPr>
      <w:r>
        <w:rPr>
          <w:rFonts w:cs="Arial" w:ascii="Calibri" w:hAnsi="Calibri" w:asciiTheme="minorHAnsi" w:hAnsiTheme="minorHAnsi"/>
        </w:rPr>
        <w:t xml:space="preserve"> </w:t>
      </w:r>
      <w:r>
        <w:rPr>
          <w:rFonts w:cs="Arial" w:ascii="Calibri" w:hAnsi="Calibri" w:asciiTheme="minorHAnsi" w:hAnsiTheme="minorHAnsi"/>
        </w:rPr>
        <w:t>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2"/>
          <w:numId w:val="1"/>
        </w:numPr>
        <w:spacing w:lineRule="atLeast" w:line="280" w:before="0" w:after="0"/>
        <w:contextualSpacing/>
        <w:jc w:val="both"/>
        <w:rPr>
          <w:rFonts w:cs="Arial"/>
        </w:rPr>
      </w:pPr>
      <w:r>
        <w:rPr>
          <w:rFonts w:cs="Arial"/>
        </w:rPr>
        <w:t>érinti a közterület kialakítását, a közterületen lévő berendezéseket vagy növényzetet,</w:t>
      </w:r>
    </w:p>
    <w:p>
      <w:pPr>
        <w:pStyle w:val="ListParagraph"/>
        <w:numPr>
          <w:ilvl w:val="2"/>
          <w:numId w:val="1"/>
        </w:numPr>
        <w:spacing w:lineRule="atLeast" w:line="280" w:before="0" w:after="0"/>
        <w:contextualSpacing/>
        <w:jc w:val="both"/>
        <w:rPr>
          <w:rFonts w:cs="Arial"/>
        </w:rPr>
      </w:pPr>
      <w:r>
        <w:rPr>
          <w:rFonts w:cs="Arial"/>
        </w:rPr>
        <w:t>érinti a kapcsolódó közterület közúti vagy gyalogos, kerékpáros forgalmát.</w:t>
      </w:r>
    </w:p>
    <w:p>
      <w:pPr>
        <w:pStyle w:val="ListParagraph"/>
        <w:numPr>
          <w:ilvl w:val="0"/>
          <w:numId w:val="1"/>
        </w:numPr>
        <w:spacing w:lineRule="atLeast" w:line="280" w:before="0" w:after="0"/>
        <w:contextualSpacing/>
        <w:jc w:val="both"/>
        <w:rPr>
          <w:rFonts w:cs="Arial"/>
        </w:rPr>
      </w:pPr>
      <w:r>
        <w:rPr>
          <w:rFonts w:cs="Arial"/>
        </w:rPr>
      </w:r>
    </w:p>
    <w:p>
      <w:pPr>
        <w:pStyle w:val="ListParagraph"/>
        <w:numPr>
          <w:ilvl w:val="1"/>
          <w:numId w:val="1"/>
        </w:numPr>
        <w:spacing w:lineRule="atLeast" w:line="280" w:before="0" w:after="0"/>
        <w:contextualSpacing/>
        <w:jc w:val="both"/>
        <w:rPr>
          <w:rFonts w:cs="Arial"/>
        </w:rPr>
      </w:pPr>
      <w:r>
        <w:rPr>
          <w:rFonts w:cs="Arial"/>
        </w:rPr>
        <w:t>Településképi bejelentési eljárást kell lefolytatni a településkép védelméről szóló törvény reklámok közzétételével kapcsolatos rendelkezéseinek végrehajtásáról szóló kormányrendeletben szereplő általános településképi követelmények tekintetében a reklámok és reklámhordozók elhelyezésénél, az alábbi esetekben:</w:t>
      </w:r>
    </w:p>
    <w:p>
      <w:pPr>
        <w:pStyle w:val="ListParagraph"/>
        <w:numPr>
          <w:ilvl w:val="2"/>
          <w:numId w:val="1"/>
        </w:numPr>
        <w:spacing w:lineRule="atLeast" w:line="280" w:before="0" w:after="0"/>
        <w:contextualSpacing/>
        <w:jc w:val="both"/>
        <w:rPr>
          <w:rFonts w:cs="Arial"/>
        </w:rPr>
      </w:pPr>
      <w:r>
        <w:rPr>
          <w:rFonts w:cs="Arial"/>
        </w:rPr>
        <w:t>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2"/>
          <w:numId w:val="1"/>
        </w:numPr>
        <w:spacing w:lineRule="atLeast" w:line="280" w:before="0" w:after="0"/>
        <w:contextualSpacing/>
        <w:jc w:val="both"/>
        <w:rPr>
          <w:rFonts w:cs="Arial"/>
        </w:rPr>
      </w:pPr>
      <w:r>
        <w:rPr>
          <w:rFonts w:cs="Arial"/>
        </w:rPr>
        <w:t>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2"/>
          <w:numId w:val="1"/>
        </w:numPr>
        <w:spacing w:lineRule="atLeast" w:line="280" w:before="0" w:after="0"/>
        <w:contextualSpacing/>
        <w:jc w:val="both"/>
        <w:rPr>
          <w:rFonts w:cs="Arial"/>
        </w:rPr>
      </w:pPr>
      <w:r>
        <w:rPr>
          <w:rFonts w:cs="Arial"/>
        </w:rPr>
        <w:t>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 xml:space="preserve">Településképi kötelezés, bírság </w:t>
      </w:r>
    </w:p>
    <w:p>
      <w:pPr>
        <w:pStyle w:val="ListParagraph"/>
        <w:numPr>
          <w:ilvl w:val="0"/>
          <w:numId w:val="1"/>
        </w:numPr>
        <w:shd w:val="clear" w:color="auto" w:fill="FFFFFF"/>
        <w:spacing w:lineRule="atLeast" w:line="280" w:before="120" w:after="0"/>
        <w:contextualSpacing/>
        <w:rPr>
          <w:rFonts w:cs="Arial"/>
        </w:rPr>
      </w:pPr>
      <w:r>
        <w:rPr>
          <w:rFonts w:cs="Arial"/>
        </w:rPr>
      </w:r>
    </w:p>
    <w:p>
      <w:pPr>
        <w:pStyle w:val="ListParagraph"/>
        <w:numPr>
          <w:ilvl w:val="1"/>
          <w:numId w:val="1"/>
        </w:numPr>
        <w:shd w:val="clear" w:color="auto" w:fill="FFFFFF"/>
        <w:spacing w:lineRule="atLeast" w:line="280" w:before="120" w:after="0"/>
        <w:contextualSpacing/>
        <w:rPr>
          <w:rFonts w:cs="Arial"/>
        </w:rPr>
      </w:pPr>
      <w:r>
        <w:rPr>
          <w:rFonts w:cs="Arial"/>
        </w:rPr>
        <w:t xml:space="preserve">Településképi követelmény megszegésének minősül a bejelentési kötelezettség </w:t>
      </w:r>
    </w:p>
    <w:p>
      <w:pPr>
        <w:pStyle w:val="ListParagraph"/>
        <w:numPr>
          <w:ilvl w:val="2"/>
          <w:numId w:val="1"/>
        </w:numPr>
        <w:shd w:val="clear" w:color="auto" w:fill="FFFFFF"/>
        <w:spacing w:lineRule="atLeast" w:line="280" w:before="120" w:after="0"/>
        <w:contextualSpacing/>
        <w:rPr>
          <w:rFonts w:cs="Arial"/>
        </w:rPr>
      </w:pPr>
      <w:r>
        <w:rPr>
          <w:rFonts w:cs="Arial"/>
        </w:rPr>
        <w:t xml:space="preserve">elmulasztása, </w:t>
      </w:r>
    </w:p>
    <w:p>
      <w:pPr>
        <w:pStyle w:val="ListParagraph"/>
        <w:numPr>
          <w:ilvl w:val="2"/>
          <w:numId w:val="1"/>
        </w:numPr>
        <w:shd w:val="clear" w:color="auto" w:fill="FFFFFF"/>
        <w:spacing w:lineRule="atLeast" w:line="280" w:before="120" w:after="0"/>
        <w:contextualSpacing/>
        <w:rPr>
          <w:rFonts w:cs="Arial"/>
        </w:rPr>
      </w:pPr>
      <w:r>
        <w:rPr>
          <w:rFonts w:cs="Arial"/>
        </w:rPr>
        <w:t>a bejelentési eljárás alapján lefolytatott eljárásban hozott döntéstől eltérő végrehajtása,</w:t>
      </w:r>
    </w:p>
    <w:p>
      <w:pPr>
        <w:pStyle w:val="ListParagraph"/>
        <w:numPr>
          <w:ilvl w:val="2"/>
          <w:numId w:val="1"/>
        </w:numPr>
        <w:shd w:val="clear" w:color="auto" w:fill="FFFFFF"/>
        <w:spacing w:lineRule="atLeast" w:line="280" w:before="120" w:after="0"/>
        <w:contextualSpacing/>
        <w:rPr>
          <w:rFonts w:cs="Arial"/>
        </w:rPr>
      </w:pPr>
      <w:bookmarkStart w:id="16" w:name="_Toc482612935"/>
      <w:bookmarkStart w:id="17" w:name="_Toc480884921"/>
      <w:bookmarkEnd w:id="16"/>
      <w:bookmarkEnd w:id="17"/>
      <w:r>
        <w:rPr>
          <w:rFonts w:cs="Arial"/>
        </w:rPr>
        <w:t>a bejelentési eljárás alapján lefolytatott eljárásban hozott döntés végre nem hajtása.</w:t>
      </w:r>
    </w:p>
    <w:p>
      <w:pPr>
        <w:pStyle w:val="ListParagraph"/>
        <w:shd w:val="clear" w:color="auto" w:fill="FFFFFF"/>
        <w:spacing w:lineRule="atLeast" w:line="280" w:before="120" w:after="0"/>
        <w:ind w:left="851" w:hanging="0"/>
        <w:contextualSpacing/>
        <w:rPr>
          <w:rFonts w:cs="Arial"/>
        </w:rPr>
      </w:pPr>
      <w:r>
        <w:rPr>
          <w:rFonts w:cs="Arial"/>
        </w:rPr>
      </w:r>
    </w:p>
    <w:p>
      <w:pPr>
        <w:pStyle w:val="ListParagraph"/>
        <w:numPr>
          <w:ilvl w:val="0"/>
          <w:numId w:val="1"/>
        </w:numPr>
        <w:shd w:val="clear" w:color="auto" w:fill="FFFFFF"/>
        <w:spacing w:lineRule="atLeast" w:line="280" w:before="120" w:after="0"/>
        <w:contextualSpacing/>
        <w:rPr>
          <w:rFonts w:cs="Arial"/>
        </w:rPr>
      </w:pPr>
      <w:r>
        <w:rPr>
          <w:rFonts w:cs="Arial"/>
        </w:rPr>
      </w:r>
    </w:p>
    <w:p>
      <w:pPr>
        <w:pStyle w:val="ListParagraph"/>
        <w:numPr>
          <w:ilvl w:val="1"/>
          <w:numId w:val="1"/>
        </w:numPr>
        <w:shd w:val="clear" w:color="auto" w:fill="FFFFFF"/>
        <w:spacing w:lineRule="atLeast" w:line="280" w:before="120" w:after="0"/>
        <w:contextualSpacing/>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0"/>
          <w:numId w:val="1"/>
        </w:numPr>
        <w:shd w:val="clear" w:color="auto" w:fill="FFFFFF"/>
        <w:spacing w:lineRule="atLeast" w:line="280" w:before="120" w:after="0"/>
        <w:contextualSpacing/>
        <w:rPr>
          <w:rFonts w:cs="Arial"/>
        </w:rPr>
      </w:pPr>
      <w:r>
        <w:rPr>
          <w:rFonts w:cs="Arial"/>
        </w:rPr>
      </w:r>
    </w:p>
    <w:p>
      <w:pPr>
        <w:pStyle w:val="ListParagraph"/>
        <w:numPr>
          <w:ilvl w:val="1"/>
          <w:numId w:val="1"/>
        </w:numPr>
        <w:shd w:val="clear" w:color="auto" w:fill="FFFFFF"/>
        <w:spacing w:lineRule="atLeast" w:line="280" w:before="120" w:after="0"/>
        <w:contextualSpacing/>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2"/>
          <w:numId w:val="1"/>
        </w:numPr>
        <w:shd w:val="clear" w:color="auto" w:fill="FFFFFF"/>
        <w:spacing w:lineRule="atLeast" w:line="280" w:before="120" w:after="0"/>
        <w:contextualSpacing/>
        <w:rPr>
          <w:rFonts w:cs="Arial"/>
        </w:rPr>
      </w:pPr>
      <w:r>
        <w:rPr>
          <w:rFonts w:cs="Arial"/>
        </w:rPr>
        <w:t xml:space="preserve">településképi bejelentési kötelezettség elmulasztása esetén 10 000 forinttól 1 000 000 forintig, </w:t>
      </w:r>
    </w:p>
    <w:p>
      <w:pPr>
        <w:pStyle w:val="ListParagraph"/>
        <w:numPr>
          <w:ilvl w:val="2"/>
          <w:numId w:val="1"/>
        </w:numPr>
        <w:shd w:val="clear" w:color="auto" w:fill="FFFFFF"/>
        <w:spacing w:lineRule="atLeast" w:line="280" w:before="120" w:after="0"/>
        <w:contextualSpacing/>
        <w:rPr>
          <w:rFonts w:cs="Arial"/>
        </w:rPr>
      </w:pPr>
      <w:r>
        <w:rPr>
          <w:rFonts w:cs="Arial"/>
        </w:rPr>
        <w:t>a polgármester tiltása ellenére végzett tevékenység esetén 10 000 forinttól 1 000 000 forintig,</w:t>
      </w:r>
    </w:p>
    <w:p>
      <w:pPr>
        <w:pStyle w:val="ListParagraph"/>
        <w:numPr>
          <w:ilvl w:val="2"/>
          <w:numId w:val="1"/>
        </w:numPr>
        <w:shd w:val="clear" w:color="auto" w:fill="FFFFFF"/>
        <w:spacing w:lineRule="atLeast" w:line="280" w:before="120" w:after="0"/>
        <w:contextualSpacing/>
        <w:rPr>
          <w:rFonts w:cs="Arial"/>
        </w:rPr>
      </w:pPr>
      <w:r>
        <w:rPr>
          <w:rFonts w:cs="Arial"/>
        </w:rPr>
        <w:t>a bejelentési dokumentációban foglaltaktól eltérő tevékenység folytatása esetén az eltérés mértékétől függően legalább 10 000 forint, legfeljebb 1 000 000 forint,</w:t>
      </w:r>
    </w:p>
    <w:p>
      <w:pPr>
        <w:pStyle w:val="ListParagraph"/>
        <w:numPr>
          <w:ilvl w:val="2"/>
          <w:numId w:val="1"/>
        </w:numPr>
        <w:shd w:val="clear" w:color="auto" w:fill="FFFFFF"/>
        <w:spacing w:lineRule="atLeast" w:line="280" w:before="120" w:after="0"/>
        <w:contextualSpacing/>
        <w:rPr>
          <w:rFonts w:cs="Arial"/>
        </w:rPr>
      </w:pPr>
      <w:r>
        <w:rPr>
          <w:rFonts w:cs="Arial"/>
        </w:rPr>
        <w:t>településképi kötelezésben foglaltak végre nem hajtása esetén alkalmanként legalább 10 000 forint, legfeljebb 1 000 000 forint.</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contextualSpacing/>
        <w:jc w:val="center"/>
        <w:rPr>
          <w:rFonts w:cs="Arial"/>
        </w:rPr>
      </w:pPr>
      <w:r>
        <w:rPr>
          <w:rFonts w:cs="Arial"/>
        </w:rPr>
        <w:t>ZÁRÓ RENDELKEZÉSEK</w:t>
      </w:r>
    </w:p>
    <w:p>
      <w:pPr>
        <w:pStyle w:val="ListParagraph"/>
        <w:spacing w:lineRule="atLeast" w:line="280" w:before="240" w:after="120"/>
        <w:contextualSpacing/>
        <w:rPr>
          <w:rFonts w:cs="Arial"/>
          <w:b/>
          <w:b/>
        </w:rPr>
      </w:pPr>
      <w:r>
        <w:rPr>
          <w:rFonts w:cs="Arial"/>
          <w:b/>
        </w:rPr>
      </w:r>
    </w:p>
    <w:p>
      <w:pPr>
        <w:pStyle w:val="ListParagraph"/>
        <w:numPr>
          <w:ilvl w:val="0"/>
          <w:numId w:val="2"/>
        </w:numPr>
        <w:spacing w:lineRule="atLeast" w:line="280" w:before="240" w:after="120"/>
        <w:contextualSpacing/>
        <w:jc w:val="center"/>
        <w:rPr>
          <w:rFonts w:cs="Arial"/>
          <w:b/>
          <w:b/>
        </w:rPr>
      </w:pPr>
      <w:r>
        <w:rPr>
          <w:rFonts w:cs="Arial"/>
          <w:b/>
        </w:rPr>
        <w:t>Hatályba léptető rendelkezések</w:t>
      </w:r>
    </w:p>
    <w:p>
      <w:pPr>
        <w:pStyle w:val="ListParagraph"/>
        <w:spacing w:lineRule="atLeast" w:line="280" w:before="240" w:after="120"/>
        <w:contextualSpacing/>
        <w:rPr>
          <w:rFonts w:cs="Arial"/>
          <w:b/>
          <w:b/>
        </w:rPr>
      </w:pPr>
      <w:r>
        <w:rPr>
          <w:rFonts w:cs="Arial"/>
          <w:b/>
        </w:rPr>
      </w:r>
    </w:p>
    <w:p>
      <w:pPr>
        <w:pStyle w:val="ListParagraph"/>
        <w:numPr>
          <w:ilvl w:val="0"/>
          <w:numId w:val="1"/>
        </w:numPr>
        <w:spacing w:lineRule="atLeast" w:line="280" w:before="120" w:after="0"/>
        <w:contextualSpacing/>
        <w:rPr/>
      </w:pPr>
      <w:r>
        <w:rPr>
          <w:rFonts w:cs="Arial"/>
        </w:rPr>
        <w:t>E rendelet 2018. január 1-jén  hatályba.</w:t>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contextualSpacing/>
        <w:jc w:val="center"/>
        <w:rPr>
          <w:rFonts w:cs="Arial"/>
          <w:b/>
          <w:b/>
        </w:rPr>
      </w:pPr>
      <w:r>
        <w:rPr>
          <w:rFonts w:cs="Arial"/>
          <w:b/>
        </w:rPr>
        <w:t>Hatályon kívül helyező rendelkezések</w:t>
      </w:r>
    </w:p>
    <w:p>
      <w:pPr>
        <w:pStyle w:val="ListParagraph"/>
        <w:spacing w:lineRule="atLeast" w:line="280" w:before="240" w:after="120"/>
        <w:contextualSpacing/>
        <w:rPr>
          <w:rFonts w:cs="Arial"/>
          <w:b/>
          <w:b/>
        </w:rPr>
      </w:pPr>
      <w:r>
        <w:rPr>
          <w:rFonts w:cs="Arial"/>
          <w:b/>
        </w:rPr>
      </w:r>
    </w:p>
    <w:p>
      <w:pPr>
        <w:pStyle w:val="ListParagraph"/>
        <w:numPr>
          <w:ilvl w:val="0"/>
          <w:numId w:val="1"/>
        </w:numPr>
        <w:spacing w:lineRule="atLeast" w:line="280" w:before="120" w:after="0"/>
        <w:contextualSpacing/>
        <w:jc w:val="both"/>
        <w:rPr/>
      </w:pPr>
      <w:r>
        <w:rPr>
          <w:rFonts w:cs="Arial"/>
        </w:rPr>
        <w:t>E  rendelet hatályba lépésével egyidejűleg hatályát veszti Pápakovácsi Község Önkormányzat Képviselő-testületének 6/2009. (IV.16.) sz. rendeletének 7.§-ának (2), (5), (6), (8); 8.§-ának (2), (3); 12.§-ának (9), (10), (13) valamint 3. és 5. számú függeléke.</w:t>
      </w:r>
    </w:p>
    <w:p>
      <w:pPr>
        <w:pStyle w:val="ListParagraph"/>
        <w:spacing w:lineRule="atLeast" w:line="280" w:before="120" w:after="0"/>
        <w:contextualSpacing/>
        <w:jc w:val="both"/>
        <w:rPr>
          <w:rFonts w:cs="Arial"/>
        </w:rPr>
      </w:pPr>
      <w:r>
        <w:rPr>
          <w:rFonts w:cs="Arial"/>
        </w:rPr>
      </w:r>
    </w:p>
    <w:p>
      <w:pPr>
        <w:pStyle w:val="ListParagraph"/>
        <w:spacing w:lineRule="atLeast" w:line="280" w:before="120" w:after="0"/>
        <w:contextualSpacing/>
        <w:jc w:val="both"/>
        <w:rPr>
          <w:rFonts w:cs="Arial"/>
        </w:rPr>
      </w:pPr>
      <w:r>
        <w:rPr>
          <w:rFonts w:cs="Arial"/>
        </w:rPr>
      </w:r>
    </w:p>
    <w:p>
      <w:pPr>
        <w:pStyle w:val="ListParagraph"/>
        <w:spacing w:lineRule="atLeast" w:line="280" w:before="120" w:after="0"/>
        <w:ind w:left="0" w:hanging="0"/>
        <w:contextualSpacing/>
        <w:jc w:val="both"/>
        <w:rPr/>
      </w:pPr>
      <w:r>
        <w:rPr>
          <w:rFonts w:cs="Arial"/>
        </w:rPr>
        <w:t>Pápakovácsi 2017. december 11.</w:t>
      </w:r>
    </w:p>
    <w:p>
      <w:pPr>
        <w:pStyle w:val="ListParagraph"/>
        <w:spacing w:lineRule="atLeast" w:line="280" w:before="120" w:after="0"/>
        <w:ind w:left="0" w:hanging="0"/>
        <w:contextualSpacing/>
        <w:jc w:val="both"/>
        <w:rPr>
          <w:rFonts w:cs="Arial"/>
        </w:rPr>
      </w:pPr>
      <w:r>
        <w:rPr>
          <w:rFonts w:cs="Arial"/>
        </w:rPr>
      </w:r>
    </w:p>
    <w:p>
      <w:pPr>
        <w:pStyle w:val="ListParagraph"/>
        <w:spacing w:lineRule="atLeast" w:line="280" w:before="120" w:after="0"/>
        <w:ind w:left="0" w:hanging="0"/>
        <w:contextualSpacing/>
        <w:jc w:val="both"/>
        <w:rPr>
          <w:rFonts w:cs="Arial"/>
        </w:rPr>
      </w:pPr>
      <w:r>
        <w:rPr>
          <w:rFonts w:cs="Arial"/>
        </w:rPr>
      </w:r>
    </w:p>
    <w:p>
      <w:pPr>
        <w:pStyle w:val="ListParagraph"/>
        <w:spacing w:lineRule="atLeast" w:line="280" w:before="120" w:after="0"/>
        <w:ind w:left="0" w:hanging="0"/>
        <w:contextualSpacing/>
        <w:jc w:val="both"/>
        <w:rPr/>
      </w:pPr>
      <w:r>
        <w:rPr>
          <w:rFonts w:cs="Arial"/>
        </w:rPr>
        <w:t>Burghardt Ferenc</w:t>
        <w:tab/>
        <w:tab/>
        <w:tab/>
        <w:tab/>
        <w:tab/>
        <w:t>Bóka Istvánné</w:t>
      </w:r>
    </w:p>
    <w:p>
      <w:pPr>
        <w:pStyle w:val="ListParagraph"/>
        <w:spacing w:lineRule="atLeast" w:line="280" w:before="120" w:after="0"/>
        <w:ind w:left="0" w:hanging="0"/>
        <w:contextualSpacing/>
        <w:jc w:val="both"/>
        <w:rPr/>
      </w:pPr>
      <w:r>
        <w:rPr>
          <w:rFonts w:cs="Arial"/>
        </w:rPr>
        <w:t>polgármester</w:t>
        <w:tab/>
        <w:tab/>
        <w:tab/>
        <w:tab/>
        <w:tab/>
        <w:tab/>
        <w:t>jegyző</w:t>
      </w:r>
    </w:p>
    <w:p>
      <w:pPr>
        <w:pStyle w:val="ListParagraph"/>
        <w:spacing w:lineRule="atLeast" w:line="280" w:before="120" w:after="0"/>
        <w:ind w:left="0" w:hanging="0"/>
        <w:contextualSpacing/>
        <w:jc w:val="both"/>
        <w:rPr>
          <w:rFonts w:cs="Arial"/>
        </w:rPr>
      </w:pPr>
      <w:r>
        <w:rPr>
          <w:rFonts w:cs="Arial"/>
        </w:rPr>
      </w:r>
    </w:p>
    <w:p>
      <w:pPr>
        <w:pStyle w:val="ListParagraph"/>
        <w:spacing w:lineRule="atLeast" w:line="280" w:before="120" w:after="0"/>
        <w:ind w:left="0" w:hanging="0"/>
        <w:contextualSpacing/>
        <w:jc w:val="both"/>
        <w:rPr>
          <w:rFonts w:cs="Arial"/>
        </w:rPr>
      </w:pPr>
      <w:r>
        <w:rPr>
          <w:rFonts w:cs="Arial"/>
        </w:rPr>
      </w:r>
    </w:p>
    <w:p>
      <w:pPr>
        <w:pStyle w:val="ListParagraph"/>
        <w:spacing w:lineRule="atLeast" w:line="280" w:before="120" w:after="0"/>
        <w:ind w:left="0" w:hanging="0"/>
        <w:contextualSpacing/>
        <w:jc w:val="both"/>
        <w:rPr>
          <w:rFonts w:cs="Arial"/>
        </w:rPr>
      </w:pPr>
      <w:r>
        <w:rPr>
          <w:rFonts w:cs="Arial"/>
        </w:rPr>
      </w:r>
    </w:p>
    <w:p>
      <w:pPr>
        <w:pStyle w:val="ListParagraph"/>
        <w:spacing w:lineRule="atLeast" w:line="280" w:before="120" w:after="0"/>
        <w:ind w:left="0" w:hanging="0"/>
        <w:contextualSpacing/>
        <w:jc w:val="both"/>
        <w:rPr/>
      </w:pPr>
      <w:r>
        <w:rPr>
          <w:rFonts w:cs="Arial"/>
        </w:rPr>
        <w:t>A rendelet kihirdetve:</w:t>
      </w:r>
    </w:p>
    <w:p>
      <w:pPr>
        <w:pStyle w:val="ListParagraph"/>
        <w:spacing w:lineRule="atLeast" w:line="280" w:before="120" w:after="0"/>
        <w:ind w:left="0" w:hanging="0"/>
        <w:contextualSpacing/>
        <w:jc w:val="both"/>
        <w:rPr/>
      </w:pPr>
      <w:r>
        <w:rPr>
          <w:rFonts w:cs="Arial"/>
        </w:rPr>
        <w:t>2017. december 15.</w:t>
      </w:r>
    </w:p>
    <w:p>
      <w:pPr>
        <w:pStyle w:val="Normal"/>
        <w:spacing w:lineRule="atLeast" w:line="280" w:before="120" w:after="0"/>
        <w:rPr>
          <w:rFonts w:cs="Arial"/>
        </w:rPr>
      </w:pPr>
      <w:r>
        <w:rPr>
          <w:rFonts w:cs="Arial"/>
        </w:rPr>
      </w:r>
    </w:p>
    <w:p>
      <w:pPr>
        <w:pStyle w:val="Normal"/>
        <w:spacing w:lineRule="atLeast" w:line="280" w:before="120" w:after="0"/>
        <w:jc w:val="both"/>
        <w:rPr/>
      </w:pPr>
      <w:r>
        <w:rPr/>
        <w:t xml:space="preserve">Bóka Istvánné </w:t>
      </w:r>
    </w:p>
    <w:p>
      <w:pPr>
        <w:pStyle w:val="Normal"/>
        <w:spacing w:lineRule="atLeast" w:line="280" w:before="120" w:after="0"/>
        <w:jc w:val="both"/>
        <w:rPr/>
      </w:pPr>
      <w:r>
        <w:rPr/>
        <w:t>jegyző</w:t>
      </w:r>
    </w:p>
    <w:p>
      <w:pPr>
        <w:pStyle w:val="Normal"/>
        <w:spacing w:lineRule="atLeast" w:line="280" w:before="120" w:after="0"/>
        <w:jc w:val="both"/>
        <w:rPr/>
      </w:pPr>
      <w:r>
        <w:rPr/>
      </w:r>
    </w:p>
    <w:p>
      <w:pPr>
        <w:pStyle w:val="Normal"/>
        <w:spacing w:lineRule="atLeast" w:line="280" w:before="120" w:after="0"/>
        <w:jc w:val="both"/>
        <w:rPr/>
      </w:pPr>
      <w:r>
        <w:rPr/>
      </w:r>
    </w:p>
    <w:p>
      <w:pPr>
        <w:pStyle w:val="Normal"/>
        <w:spacing w:lineRule="atLeast" w:line="280" w:before="120" w:after="0"/>
        <w:jc w:val="both"/>
        <w:rPr/>
      </w:pPr>
      <w:r>
        <w:rPr/>
        <w:t>1-10 módosította a</w:t>
      </w:r>
      <w:r>
        <w:rPr/>
        <w:t>z 5</w:t>
      </w:r>
      <w:r>
        <w:rPr/>
        <w:t>/2019. (</w:t>
      </w:r>
      <w:r>
        <w:rPr/>
        <w:t>III.25.</w:t>
      </w:r>
      <w:r>
        <w:rPr/>
        <w:t xml:space="preserve">) önkormányzati rendelet. Hatályos 2019, </w:t>
      </w:r>
      <w:r>
        <w:rPr/>
        <w:t>március 26-tól</w:t>
      </w:r>
    </w:p>
    <w:sectPr>
      <w:footerReference w:type="default" r:id="rId3"/>
      <w:type w:val="nextPage"/>
      <w:pgSz w:w="11906" w:h="16838"/>
      <w:pgMar w:left="1417" w:right="1417" w:header="720" w:top="1417" w:footer="708" w:bottom="1417"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89595559"/>
    </w:sdtPr>
    <w:sdtContent>
      <w:p>
        <w:pPr>
          <w:pStyle w:val="Llb"/>
          <w:jc w:val="right"/>
          <w:rPr/>
        </w:pPr>
        <w:r>
          <w:rPr/>
          <w:fldChar w:fldCharType="begin"/>
        </w:r>
        <w:r>
          <w:rPr/>
          <w:instrText> PAGE </w:instrText>
        </w:r>
        <w:r>
          <w:rPr/>
          <w:fldChar w:fldCharType="separate"/>
        </w:r>
        <w:r>
          <w:rPr/>
          <w:t>12</w:t>
        </w:r>
        <w:r>
          <w:rPr/>
          <w:fldChar w:fldCharType="end"/>
        </w:r>
      </w:p>
    </w:sdtContent>
  </w:sdt>
  <w:p>
    <w:pPr>
      <w:pStyle w:val="Llb"/>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rFonts w:ascii="Calibri" w:hAnsi="Calibri"/>
        <w:color w:val="00000A"/>
      </w:rPr>
    </w:lvl>
    <w:lvl w:ilvl="1">
      <w:start w:val="1"/>
      <w:numFmt w:val="decimal"/>
      <w:lvlText w:val="(%2)"/>
      <w:lvlJc w:val="left"/>
      <w:pPr>
        <w:ind w:left="567" w:hanging="283"/>
      </w:pPr>
      <w:rPr>
        <w:sz w:val="22"/>
        <w:b/>
        <w:rFonts w:ascii="Calibri" w:hAnsi="Calibri"/>
        <w:color w:val="00000A"/>
      </w:rPr>
    </w:lvl>
    <w:lvl w:ilvl="2">
      <w:start w:val="1"/>
      <w:numFmt w:val="lowerLetter"/>
      <w:lvlText w:val="%3)"/>
      <w:lvlJc w:val="left"/>
      <w:pPr>
        <w:ind w:left="851" w:hanging="284"/>
      </w:pPr>
      <w:rPr>
        <w:sz w:val="22"/>
        <w:b/>
        <w:rFonts w:ascii="Calibri" w:hAnsi="Calibri"/>
      </w:rPr>
    </w:lvl>
    <w:lvl w:ilvl="3">
      <w:start w:val="1"/>
      <w:numFmt w:val="decimal"/>
      <w:lvlText w:val="%4."/>
      <w:lvlJc w:val="left"/>
      <w:pPr>
        <w:ind w:left="1134" w:firstLine="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hu-HU" w:eastAsia="hu-H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customStyle="1">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Lbjegyzethorgony">
    <w:name w:val="Lábjegyzet-horgony"/>
    <w:rPr>
      <w:vertAlign w:val="superscript"/>
    </w:rPr>
  </w:style>
  <w:style w:type="character" w:styleId="FootnoteCharacters">
    <w:name w:val="Footnote Characters"/>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uiPriority w:val="99"/>
    <w:semiHidden/>
    <w:qFormat/>
    <w:rsid w:val="00e6555b"/>
    <w:rPr/>
  </w:style>
  <w:style w:type="character" w:styleId="LlbChar" w:customStyle="1">
    <w:name w:val="Élőláb Char"/>
    <w:basedOn w:val="DefaultParagraphFont"/>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ListLabel1" w:customStyle="1">
    <w:name w:val="ListLabel 1"/>
    <w:qFormat/>
    <w:rPr>
      <w:b w:val="false"/>
      <w:i w:val="false"/>
      <w:color w:val="00000A"/>
      <w:sz w:val="16"/>
      <w:szCs w:val="24"/>
    </w:rPr>
  </w:style>
  <w:style w:type="character" w:styleId="ListLabel2" w:customStyle="1">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customStyle="1">
    <w:name w:val="ListLabel 3"/>
    <w:qFormat/>
    <w:rPr>
      <w:b w:val="false"/>
      <w:i w:val="false"/>
      <w:color w:val="5F5F5F"/>
      <w:sz w:val="16"/>
      <w:szCs w:val="24"/>
    </w:rPr>
  </w:style>
  <w:style w:type="character" w:styleId="ListLabel4" w:customStyle="1">
    <w:name w:val="ListLabel 4"/>
    <w:qFormat/>
    <w:rPr>
      <w:rFonts w:eastAsia="Times New Roman" w:cs="Arial"/>
    </w:rPr>
  </w:style>
  <w:style w:type="character" w:styleId="ListLabel5" w:customStyle="1">
    <w:name w:val="ListLabel 5"/>
    <w:qFormat/>
    <w:rPr>
      <w:b w:val="false"/>
      <w:i w:val="false"/>
      <w:color w:val="5F5F5F"/>
      <w:sz w:val="16"/>
      <w:szCs w:val="24"/>
    </w:rPr>
  </w:style>
  <w:style w:type="character" w:styleId="ListLabel6" w:customStyle="1">
    <w:name w:val="ListLabel 6"/>
    <w:qFormat/>
    <w:rPr>
      <w:sz w:val="22"/>
      <w:szCs w:val="22"/>
      <w:lang w:val="hu-HU"/>
    </w:rPr>
  </w:style>
  <w:style w:type="character" w:styleId="ListLabel7" w:customStyle="1">
    <w:name w:val="ListLabel 7"/>
    <w:qFormat/>
    <w:rPr>
      <w:rFonts w:cs="Times New Roman"/>
      <w:b w:val="false"/>
      <w:bCs w:val="false"/>
      <w:i w:val="false"/>
      <w:iCs w:val="false"/>
      <w:caps w:val="false"/>
      <w:smallCaps w:val="false"/>
      <w:strike w:val="false"/>
      <w:dstrike w:val="false"/>
      <w:vanish w:val="false"/>
      <w:color w:val="000000"/>
      <w:spacing w:val="0"/>
      <w:position w:val="0"/>
      <w:sz w:val="22"/>
      <w:sz w:val="22"/>
      <w:u w:val="none"/>
      <w:effect w:val="none"/>
      <w:vertAlign w:val="baseline"/>
      <w:em w:val="none"/>
    </w:rPr>
  </w:style>
  <w:style w:type="character" w:styleId="ListLabel8" w:customStyle="1">
    <w:name w:val="ListLabel 8"/>
    <w:qFormat/>
    <w:rPr>
      <w:b w:val="false"/>
      <w:bCs w:val="false"/>
      <w:i w:val="false"/>
      <w:iCs w:val="false"/>
      <w:caps w:val="false"/>
      <w:smallCaps w:val="false"/>
      <w:strike w:val="false"/>
      <w:dstrike w:val="false"/>
      <w:vanish w:val="false"/>
      <w:color w:val="000000"/>
      <w:spacing w:val="0"/>
      <w:w w:val="100"/>
      <w:position w:val="0"/>
      <w:sz w:val="0"/>
      <w:sz w:val="0"/>
      <w:szCs w:val="0"/>
      <w:highlight w:val="black"/>
      <w:u w:val="none" w:color="000000"/>
      <w:effect w:val="none"/>
      <w:vertAlign w:val="baseline"/>
      <w:em w:val="none"/>
    </w:rPr>
  </w:style>
  <w:style w:type="character" w:styleId="ListLabel9" w:customStyle="1">
    <w:name w:val="ListLabel 9"/>
    <w:qFormat/>
    <w:rPr>
      <w:rFonts w:cs="Times New Roman"/>
      <w:b w:val="false"/>
      <w:i w:val="false"/>
      <w:color w:val="00000A"/>
      <w:sz w:val="20"/>
    </w:rPr>
  </w:style>
  <w:style w:type="character" w:styleId="ListLabel10" w:customStyle="1">
    <w:name w:val="ListLabel 10"/>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ascii="Calibri" w:hAnsi="Calibri"/>
      <w:b/>
      <w:i w:val="false"/>
      <w:strike w:val="false"/>
      <w:dstrike w:val="false"/>
      <w:color w:val="00000A"/>
      <w:sz w:val="22"/>
    </w:rPr>
  </w:style>
  <w:style w:type="character" w:styleId="ListLabel15" w:customStyle="1">
    <w:name w:val="ListLabel 15"/>
    <w:qFormat/>
    <w:rPr>
      <w:rFonts w:ascii="Calibri" w:hAnsi="Calibri"/>
      <w:b/>
      <w:color w:val="00000A"/>
      <w:sz w:val="22"/>
    </w:rPr>
  </w:style>
  <w:style w:type="character" w:styleId="ListLabel16" w:customStyle="1">
    <w:name w:val="ListLabel 16"/>
    <w:qFormat/>
    <w:rPr>
      <w:rFonts w:ascii="Calibri" w:hAnsi="Calibri"/>
      <w:b/>
      <w:sz w:val="22"/>
    </w:rPr>
  </w:style>
  <w:style w:type="character" w:styleId="ListLabel17" w:customStyle="1">
    <w:name w:val="ListLabel 17"/>
    <w:qFormat/>
    <w:rPr>
      <w:b/>
    </w:rPr>
  </w:style>
  <w:style w:type="character" w:styleId="ListLabel18" w:customStyle="1">
    <w:name w:val="ListLabel 18"/>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b w:val="false"/>
      <w:i w:val="false"/>
      <w:strike w:val="false"/>
      <w:dstrike w:val="false"/>
      <w:color w:val="00000A"/>
    </w:rPr>
  </w:style>
  <w:style w:type="character" w:styleId="ListLabel23" w:customStyle="1">
    <w:name w:val="ListLabel 23"/>
    <w:qFormat/>
    <w:rPr>
      <w:b w:val="false"/>
      <w:color w:val="00000A"/>
    </w:rPr>
  </w:style>
  <w:style w:type="character" w:styleId="ListLabel24" w:customStyle="1">
    <w:name w:val="ListLabel 24"/>
    <w:qFormat/>
    <w:rPr>
      <w:b w:val="false"/>
    </w:rPr>
  </w:style>
  <w:style w:type="character" w:styleId="ListLabel25" w:customStyle="1">
    <w:name w:val="ListLabel 25"/>
    <w:qFormat/>
    <w:rPr>
      <w:b w:val="false"/>
      <w:i w:val="false"/>
      <w:strike w:val="false"/>
      <w:dstrike w:val="false"/>
      <w:color w:val="00000A"/>
    </w:rPr>
  </w:style>
  <w:style w:type="character" w:styleId="ListLabel26" w:customStyle="1">
    <w:name w:val="ListLabel 26"/>
    <w:qFormat/>
    <w:rPr>
      <w:b w:val="false"/>
      <w:color w:val="00000A"/>
    </w:rPr>
  </w:style>
  <w:style w:type="character" w:styleId="ListLabel27" w:customStyle="1">
    <w:name w:val="ListLabel 27"/>
    <w:qFormat/>
    <w:rPr>
      <w:b w:val="false"/>
    </w:rPr>
  </w:style>
  <w:style w:type="character" w:styleId="ListLabel28" w:customStyle="1">
    <w:name w:val="ListLabel 28"/>
    <w:qFormat/>
    <w:rPr>
      <w:b w:val="false"/>
      <w:i w:val="false"/>
      <w:strike w:val="false"/>
      <w:dstrike w:val="false"/>
      <w:color w:val="00000A"/>
    </w:rPr>
  </w:style>
  <w:style w:type="character" w:styleId="ListLabel29" w:customStyle="1">
    <w:name w:val="ListLabel 29"/>
    <w:qFormat/>
    <w:rPr>
      <w:b w:val="false"/>
      <w:color w:val="00000A"/>
    </w:rPr>
  </w:style>
  <w:style w:type="character" w:styleId="ListLabel30" w:customStyle="1">
    <w:name w:val="ListLabel 30"/>
    <w:qFormat/>
    <w:rPr>
      <w:b w:val="false"/>
    </w:rPr>
  </w:style>
  <w:style w:type="character" w:styleId="ListLabel31">
    <w:name w:val="ListLabel 31"/>
    <w:qFormat/>
    <w:rPr>
      <w:rFonts w:ascii="Calibri" w:hAnsi="Calibri"/>
      <w:b/>
      <w:i w:val="false"/>
      <w:strike w:val="false"/>
      <w:dstrike w:val="false"/>
      <w:color w:val="00000A"/>
      <w:sz w:val="22"/>
    </w:rPr>
  </w:style>
  <w:style w:type="character" w:styleId="ListLabel32">
    <w:name w:val="ListLabel 32"/>
    <w:qFormat/>
    <w:rPr>
      <w:rFonts w:ascii="Calibri" w:hAnsi="Calibri"/>
      <w:b/>
      <w:color w:val="00000A"/>
      <w:sz w:val="22"/>
    </w:rPr>
  </w:style>
  <w:style w:type="character" w:styleId="ListLabel33">
    <w:name w:val="ListLabel 33"/>
    <w:qFormat/>
    <w:rPr>
      <w:rFonts w:ascii="Calibri" w:hAnsi="Calibri"/>
      <w:b/>
      <w:sz w:val="22"/>
    </w:rPr>
  </w:style>
  <w:style w:type="character" w:styleId="ListLabel34">
    <w:name w:val="ListLabel 34"/>
    <w:qFormat/>
    <w:rPr>
      <w:b/>
    </w:rPr>
  </w:style>
  <w:style w:type="character" w:styleId="ListLabel35">
    <w:name w:val="ListLabel 35"/>
    <w:qFormat/>
    <w:rPr>
      <w:rFonts w:ascii="Calibri" w:hAnsi="Calibri" w:cs="Helvetica" w:asciiTheme="minorHAnsi" w:hAnsiTheme="minorHAnsi"/>
      <w:color w:val="00000A"/>
      <w:sz w:val="22"/>
      <w:szCs w:val="22"/>
      <w:u w:val="none"/>
    </w:rPr>
  </w:style>
  <w:style w:type="character" w:styleId="ListLabel36">
    <w:name w:val="ListLabel 36"/>
    <w:qFormat/>
    <w:rPr>
      <w:rFonts w:ascii="Calibri" w:hAnsi="Calibri"/>
      <w:b/>
      <w:i w:val="false"/>
      <w:strike w:val="false"/>
      <w:dstrike w:val="false"/>
      <w:color w:val="00000A"/>
      <w:sz w:val="22"/>
    </w:rPr>
  </w:style>
  <w:style w:type="character" w:styleId="ListLabel37">
    <w:name w:val="ListLabel 37"/>
    <w:qFormat/>
    <w:rPr>
      <w:rFonts w:ascii="Calibri" w:hAnsi="Calibri"/>
      <w:b/>
      <w:color w:val="00000A"/>
      <w:sz w:val="22"/>
    </w:rPr>
  </w:style>
  <w:style w:type="character" w:styleId="ListLabel38">
    <w:name w:val="ListLabel 38"/>
    <w:qFormat/>
    <w:rPr>
      <w:rFonts w:ascii="Calibri" w:hAnsi="Calibri"/>
      <w:b/>
      <w:sz w:val="22"/>
    </w:rPr>
  </w:style>
  <w:style w:type="character" w:styleId="ListLabel39">
    <w:name w:val="ListLabel 39"/>
    <w:qFormat/>
    <w:rPr>
      <w:b/>
    </w:rPr>
  </w:style>
  <w:style w:type="character" w:styleId="ListLabel40">
    <w:name w:val="ListLabel 40"/>
    <w:qFormat/>
    <w:rPr>
      <w:rFonts w:ascii="Calibri" w:hAnsi="Calibri" w:cs="Helvetica" w:asciiTheme="minorHAnsi" w:hAnsiTheme="minorHAnsi"/>
      <w:color w:val="00000A"/>
      <w:sz w:val="22"/>
      <w:szCs w:val="22"/>
      <w:u w:val="none"/>
    </w:rPr>
  </w:style>
  <w:style w:type="paragraph" w:styleId="Cmsor" w:customStyle="1">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semiHidden/>
    <w:unhideWhenUsed/>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Arial"/>
      <w:i/>
      <w:iCs/>
      <w:sz w:val="24"/>
      <w:szCs w:val="24"/>
    </w:rPr>
  </w:style>
  <w:style w:type="paragraph" w:styleId="Trgymutat" w:customStyle="1">
    <w:name w:val="Tárgymutató"/>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jc w:val="left"/>
    </w:pPr>
    <w:rPr>
      <w:rFonts w:ascii="Calibri" w:hAnsi="Calibri" w:eastAsia="Times New Roman" w:cs="Calibri"/>
      <w:color w:val="000000"/>
      <w:kern w:val="0"/>
      <w:sz w:val="24"/>
      <w:szCs w:val="24"/>
      <w:lang w:val="hu-HU" w:eastAsia="hu-HU" w:bidi="ar-SA"/>
    </w:rPr>
  </w:style>
  <w:style w:type="paragraph" w:styleId="Bekezds" w:customStyle="1">
    <w:name w:val="Bekezdés"/>
    <w:basedOn w:val="Normal"/>
    <w:qFormat/>
    <w:rsid w:val="00a05cfd"/>
    <w:pPr>
      <w:keepLines/>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Lbjegyzet">
    <w:name w:val="Footnote Text"/>
    <w:basedOn w:val="Normal"/>
    <w:link w:val="LbjegyzetszvegChar"/>
    <w:uiPriority w:val="99"/>
    <w:semiHidden/>
    <w:unhideWhenUsed/>
    <w:qFormat/>
    <w:rsid w:val="00997493"/>
    <w:pPr/>
    <w:rPr>
      <w:rFonts w:ascii="Calibri" w:hAnsi="Calibri"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uiPriority w:val="99"/>
    <w:semiHidden/>
    <w:unhideWhenUsed/>
    <w:rsid w:val="00e6555b"/>
    <w:pPr>
      <w:tabs>
        <w:tab w:val="clear" w:pos="708"/>
        <w:tab w:val="center" w:pos="4536" w:leader="none"/>
        <w:tab w:val="right" w:pos="9072" w:leader="none"/>
      </w:tabs>
      <w:spacing w:lineRule="auto" w:line="240" w:before="0" w:after="0"/>
    </w:pPr>
    <w:rPr/>
  </w:style>
  <w:style w:type="paragraph" w:styleId="Llb">
    <w:name w:val="Footer"/>
    <w:basedOn w:val="Normal"/>
    <w:uiPriority w:val="99"/>
    <w:unhideWhenUsed/>
    <w:rsid w:val="00e6555b"/>
    <w:pPr>
      <w:tabs>
        <w:tab w:val="clear" w:pos="708"/>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ascii="Calibri" w:hAnsi="Calibri"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contextualSpacing/>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contextualSpacing/>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clear" w:pos="708"/>
        <w:tab w:val="left" w:pos="426" w:leader="none"/>
      </w:tabs>
      <w:spacing w:lineRule="auto" w:line="240" w:before="0" w:after="120"/>
      <w:jc w:val="both"/>
    </w:pPr>
    <w:rPr>
      <w:rFonts w:ascii="Arial" w:hAnsi="Arial" w:eastAsia="Times New Roman" w:cs="Times New Roman"/>
      <w:szCs w:val="20"/>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6571D-3ED6-4F1B-BA5F-36025225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LibreOffice/6.2.0.3$Windows_x86 LibreOffice_project/98c6a8a1c6c7b144ce3cc729e34964b47ce25d62</Application>
  <Pages>12</Pages>
  <Words>3726</Words>
  <Characters>26964</Characters>
  <CharactersWithSpaces>30252</CharactersWithSpaces>
  <Paragraphs>298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2019-03-18T19:12:00Z</dcterms:created>
  <dc:creator>Leel-Őssy Zsolt</dc:creator>
  <dc:description/>
  <dc:language>hu-HU</dc:language>
  <cp:lastModifiedBy/>
  <cp:lastPrinted>2019-03-19T11:29:49Z</cp:lastPrinted>
  <dcterms:modified xsi:type="dcterms:W3CDTF">2019-03-25T15:30:00Z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