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media/image2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spacing w:lineRule="auto" w:line="240"/>
        <w:jc w:val="center"/>
        <w:rPr>
          <w:rFonts w:ascii="Arial" w:hAnsi="Arial" w:eastAsia="Arial" w:cs="Arial"/>
          <w:b/>
          <w:b/>
          <w:color w:val="auto"/>
          <w:sz w:val="24"/>
        </w:rPr>
      </w:pPr>
      <w:r>
        <w:rPr>
          <w:rFonts w:eastAsia="Arial" w:cs="Arial" w:ascii="Arial" w:hAnsi="Arial"/>
          <w:b/>
          <w:color w:val="auto"/>
          <w:sz w:val="24"/>
        </w:rPr>
        <w:t>VÁLLALKOZÓI SZERZŐDÉS</w:t>
      </w:r>
    </w:p>
    <w:p>
      <w:pPr>
        <w:pStyle w:val="Normal"/>
        <w:spacing w:lineRule="auto" w:line="240"/>
        <w:jc w:val="center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/>
          <w:b/>
          <w:color w:val="auto"/>
          <w:sz w:val="24"/>
        </w:rPr>
      </w:pPr>
      <w:r>
        <w:rPr>
          <w:rFonts w:eastAsia="Arial" w:cs="Arial" w:ascii="Arial" w:hAnsi="Arial"/>
          <w:b/>
          <w:color w:val="auto"/>
          <w:sz w:val="24"/>
        </w:rPr>
        <w:t>1. Szerződő felek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>Megrendelő megnevezése:</w:t>
      </w:r>
      <w:r>
        <w:rPr>
          <w:rFonts w:eastAsia="Arial" w:cs="Arial" w:ascii="Arial" w:hAnsi="Arial"/>
          <w:b w:val="false"/>
          <w:color w:val="auto"/>
          <w:sz w:val="24"/>
        </w:rPr>
        <w:t xml:space="preserve"> Pápakovácsi Község Önkormányzata</w:t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 xml:space="preserve">Székhelyének címe: </w:t>
      </w:r>
      <w:r>
        <w:rPr>
          <w:rFonts w:eastAsia="Arial" w:cs="Arial" w:ascii="Arial" w:hAnsi="Arial"/>
          <w:b w:val="false"/>
          <w:color w:val="auto"/>
          <w:sz w:val="24"/>
        </w:rPr>
        <w:t>8596 Pápakovácsi, Fő utca 19.</w:t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>Adószáma:</w:t>
      </w:r>
      <w:r>
        <w:rPr>
          <w:rFonts w:eastAsia="Arial" w:cs="Arial" w:ascii="Arial" w:hAnsi="Arial"/>
          <w:b w:val="false"/>
          <w:color w:val="auto"/>
          <w:sz w:val="24"/>
        </w:rPr>
        <w:t xml:space="preserve"> 15428172-1-19</w:t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>Képviseli:</w:t>
      </w:r>
      <w:r>
        <w:rPr>
          <w:rFonts w:eastAsia="Arial" w:cs="Arial" w:ascii="Arial" w:hAnsi="Arial"/>
          <w:b w:val="false"/>
          <w:color w:val="auto"/>
          <w:sz w:val="24"/>
        </w:rPr>
        <w:t xml:space="preserve"> Burghardt Ferenc polgármester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 xml:space="preserve">Vállalkozó megnevezése: </w:t>
      </w:r>
      <w:r>
        <w:rPr>
          <w:rFonts w:eastAsia="Arial" w:cs="Arial" w:ascii="Arial" w:hAnsi="Arial"/>
          <w:b w:val="false"/>
          <w:bCs w:val="false"/>
          <w:color w:val="auto"/>
          <w:sz w:val="24"/>
        </w:rPr>
        <w:t>Sándor és Sándor Kft</w:t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 xml:space="preserve">Székhelyének címe: </w:t>
      </w:r>
      <w:r>
        <w:rPr>
          <w:rFonts w:eastAsia="Arial" w:cs="Arial" w:ascii="Arial" w:hAnsi="Arial"/>
          <w:b w:val="false"/>
          <w:bCs w:val="false"/>
          <w:color w:val="auto"/>
          <w:sz w:val="24"/>
        </w:rPr>
        <w:t>8500 Pápa Árok utca 20.</w:t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>Adószáma:</w:t>
      </w:r>
      <w:r>
        <w:rPr>
          <w:rFonts w:eastAsia="Arial" w:cs="Arial" w:ascii="Arial" w:hAnsi="Arial"/>
          <w:b w:val="false"/>
          <w:bCs w:val="false"/>
          <w:color w:val="auto"/>
          <w:sz w:val="24"/>
        </w:rPr>
        <w:t>11322153-2-19</w:t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 xml:space="preserve">Cégjegyzékszáma: </w:t>
      </w:r>
      <w:r>
        <w:rPr>
          <w:rFonts w:eastAsia="Arial" w:cs="Arial" w:ascii="Arial" w:hAnsi="Arial"/>
          <w:b w:val="false"/>
          <w:bCs w:val="false"/>
          <w:color w:val="auto"/>
          <w:sz w:val="24"/>
        </w:rPr>
        <w:t>19-09-500872</w:t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 xml:space="preserve">Képviseli: </w:t>
      </w:r>
      <w:r>
        <w:rPr>
          <w:rFonts w:eastAsia="Arial" w:cs="Arial" w:ascii="Arial" w:hAnsi="Arial"/>
          <w:b w:val="false"/>
          <w:bCs w:val="false"/>
          <w:color w:val="auto"/>
          <w:sz w:val="24"/>
        </w:rPr>
        <w:t xml:space="preserve">Sándor Mihály ügyvezető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>2.</w:t>
      </w:r>
      <w:r>
        <w:rPr>
          <w:rFonts w:eastAsia="Arial" w:cs="Arial" w:ascii="Arial" w:hAnsi="Arial"/>
          <w:b w:val="false"/>
          <w:color w:val="auto"/>
          <w:sz w:val="24"/>
        </w:rPr>
        <w:t xml:space="preserve"> Megrendelő a tulajdonát képező Kastély   Német Nemzetiségi  Nyelvoktató  Általános Iskola épületében (8596 Pápakovácsi, Fő utca 20.) található főzőkonyhát és a hozzá tartozó helyiségeket Vállalkozó részére bérbe adja további üzemetetésre a pápakovácsi általános iskola, valamint a település szociális étkeztetésének ellátása céljából.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  <w:t xml:space="preserve">Vállalkozó kijelenti, hogy rendelkezik mindazon engedéllyel, jogosultsággal és szaktudással, amely a jelen szerződés szerinti vállalkozói feladatok jogszerű, jelen szerződés rendelkezéseinek maradéktalanul eleget tevő, megfelelő színvonalú és folyamatos ellátásához szükséges.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>3.</w:t>
      </w:r>
      <w:r>
        <w:rPr>
          <w:rFonts w:eastAsia="Arial" w:cs="Arial" w:ascii="Arial" w:hAnsi="Arial"/>
          <w:b w:val="false"/>
          <w:color w:val="auto"/>
          <w:sz w:val="24"/>
        </w:rPr>
        <w:t xml:space="preserve"> Jelen szerződés 2. pontja szerinti főzőkonyha maximális kapacitása 300 adag/nap. A konyha és a kiszolgáló helyiségek alapterülete 130 m2. Helyiségei: főzőkonyha, mosogató, zöldség előkészítő, öltöző, wc, mosdó-mosókonyha, edényraktár, két étkező, folyosó és szárazruha-raktár. Jelen szerződés 1. számú mellékletét képezi a használatra átadott eszközök jegyzéke.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 w:val="false"/>
          <w:color w:val="auto"/>
          <w:sz w:val="24"/>
        </w:rPr>
        <w:t xml:space="preserve">4. Az Általános Iskola vonatkozásában a teljesítendő étel mennyiség átlagosan : 80  adag ebéd / iskolai nap illetve 20 adag háromszori étkezés </w:t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 w:val="false"/>
          <w:color w:val="auto"/>
          <w:sz w:val="24"/>
        </w:rPr>
        <w:t xml:space="preserve">Szociális étkeztetés: 10 adag ebéd/ nap.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>5.</w:t>
      </w:r>
      <w:r>
        <w:rPr>
          <w:rFonts w:eastAsia="Arial" w:cs="Arial" w:ascii="Arial" w:hAnsi="Arial"/>
          <w:b w:val="false"/>
          <w:color w:val="auto"/>
          <w:sz w:val="24"/>
        </w:rPr>
        <w:t xml:space="preserve"> Jelen szerződést Felek határozott időtartamra, 2019. szeptember 1-től 2023. augusztus 31.  közötti időszakra kötik.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>6.</w:t>
      </w:r>
      <w:r>
        <w:rPr>
          <w:rFonts w:eastAsia="Arial" w:cs="Arial" w:ascii="Arial" w:hAnsi="Arial"/>
          <w:b w:val="false"/>
          <w:color w:val="auto"/>
          <w:sz w:val="24"/>
        </w:rPr>
        <w:t xml:space="preserve"> Vállalkozó köteles az általános iskolások és az iskolai alkalmazottak részére a konyha étkezőiben az étkeztetést biztosítani.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>7.</w:t>
      </w:r>
      <w:r>
        <w:rPr>
          <w:rFonts w:eastAsia="Arial" w:cs="Arial" w:ascii="Arial" w:hAnsi="Arial"/>
          <w:b w:val="false"/>
          <w:color w:val="auto"/>
          <w:sz w:val="24"/>
        </w:rPr>
        <w:t xml:space="preserve"> Vállalkozó Megrendelő írásbeli hozzájárulása esetén jelen szerződés 4. pontjában körülírt mennyiség felett legfeljebb a konyha maximális kapacitása erejéig szolgálhat ki további igényeket, mely nem okozhatja jelen szerződés keretében biztosítandó étel mennyiségi és / vagy minőségi romlását. </w:t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  <w:t xml:space="preserve">                                                      </w:t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>8.</w:t>
      </w:r>
      <w:r>
        <w:rPr>
          <w:rFonts w:eastAsia="Arial" w:cs="Arial" w:ascii="Arial" w:hAnsi="Arial"/>
          <w:b w:val="false"/>
          <w:color w:val="auto"/>
          <w:sz w:val="24"/>
        </w:rPr>
        <w:t xml:space="preserve"> Megrendelő hozzájárul </w:t>
      </w:r>
      <w:r>
        <w:rPr>
          <w:rFonts w:eastAsia="Arial" w:cs="Arial" w:ascii="Arial" w:hAnsi="Arial"/>
          <w:b w:val="false"/>
          <w:color w:val="auto"/>
          <w:sz w:val="24"/>
        </w:rPr>
        <w:t xml:space="preserve"> az Óvodafenntartó Intézményi Társulás (Pápakovácsi), illetve </w:t>
      </w:r>
      <w:r>
        <w:rPr>
          <w:rFonts w:eastAsia="Arial" w:cs="Arial" w:ascii="Arial" w:hAnsi="Arial"/>
          <w:b w:val="false"/>
          <w:color w:val="auto"/>
          <w:sz w:val="24"/>
        </w:rPr>
        <w:t xml:space="preserve"> Kup és Nóráp Községek Önkormányzatai részéről  jelentkező igények Vállalkozó által történő kiszolgálásához külön szerződés keretében. Vállalkozó legfeljebb a konyha maximális kapacitása erejéig szolgálhat ki további igényeket jelen szerződés 4. pontjában körülírt mennyiség felett, mely nem okozhatja jelen szerződés keretében biztosítandó étel mennyiségi és / vagy minőségi romlását.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>9.</w:t>
      </w:r>
      <w:r>
        <w:rPr>
          <w:rFonts w:eastAsia="Arial" w:cs="Arial" w:ascii="Arial" w:hAnsi="Arial"/>
          <w:b w:val="false"/>
          <w:color w:val="auto"/>
          <w:sz w:val="24"/>
        </w:rPr>
        <w:t xml:space="preserve"> Vállalkozó köteles a főzőkonyha berendezési tárgyait, az 1. számú melléklet szerinti eszközöket, felszereléseket rendeltetésszerűen használni. Az üzemeltetés során az eszköz és / vagy felszerelés meghibásodásának költsége Vállalkozót terheli.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  <w:t xml:space="preserve">Vállalkozó jelen szerződés 3. pontjában körülírt főzőkonyha és helyiségei szükséges karbantartási munkálatait ( például: festés, stb.) saját költségén elvégezteti.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  <w:t xml:space="preserve">Nagy értékű berendezés meghibásodása esetén, a javítás költségeit vagy a berendezés cseréjének költségét Megrendelővel történő külön megállapodás alapján viselik a Felek. 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  <w:t xml:space="preserve">Vállalkozó köteles az általa használt helyiségeket tisztán tartani. Jelen szerződés megszűnésekor azokat az átvételkor meglévő állapotban Megrendelő részére visszaadni. Amennyiben valamely eszköz és / vagy berendezés Vállalkozó által nem kerül visszaadásra Megrendelő részére, akkor az így keletkezett kár értéke levonásra kerül jelen szerződés 11.  pontja szerinti Felek közötti elszámolásban.   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>10.</w:t>
      </w:r>
      <w:r>
        <w:rPr>
          <w:rFonts w:eastAsia="Arial" w:cs="Arial" w:ascii="Arial" w:hAnsi="Arial"/>
          <w:b w:val="false"/>
          <w:color w:val="auto"/>
          <w:sz w:val="24"/>
        </w:rPr>
        <w:t xml:space="preserve"> Felek a főzőkonyha bérleti díját az összbevétel 5 %-ában állapítják meg, mely tartalmazza a fűtési költségeket is.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>11.</w:t>
      </w:r>
      <w:r>
        <w:rPr>
          <w:rFonts w:eastAsia="Arial" w:cs="Arial" w:ascii="Arial" w:hAnsi="Arial"/>
          <w:b w:val="false"/>
          <w:color w:val="auto"/>
          <w:sz w:val="24"/>
        </w:rPr>
        <w:t xml:space="preserve"> Jelen szerződés 10. pontja szerinti bérleti díjat oly módon egyenlíti ki a Vállalkozó, hogy havonta átalányként 50.000 Ft bérleti díjat fizet Megrendelőnek tárgyhó 15. napjáig.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  <w:t xml:space="preserve">A tényleges bérleti díj összege jelen szerződés időtartamára jelen szerződés lejártakor kerül megállapításra a bevétel alapján. A Vállalkozó által befizetett átalánydíj figyelembevételével a különbözetként jelentkező összeget Vállalkozó köteles megfizetni Megrendelő részére, illetve ha a befizetett átalány összege magasabb a szerződés időtartama alatt befizetett bérleti díj összegénél, akkor a Vállalkozónak visszajáró összeget Megrendelő visszafizeti Vállalkozó részére. A bérleti díj megfizetése átutalással Megrendelő által kiállított számla alapján történik.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>12.</w:t>
      </w:r>
      <w:r>
        <w:rPr>
          <w:rFonts w:eastAsia="Arial" w:cs="Arial" w:ascii="Arial" w:hAnsi="Arial"/>
          <w:b w:val="false"/>
          <w:color w:val="auto"/>
          <w:sz w:val="24"/>
        </w:rPr>
        <w:t xml:space="preserve"> Jelen szerződés 3. pontjában körülírt főzőkonyha és helyiségei rezsiköltségének (áramdíj, víz,- és csatorna díj) kiegyenlítése Vállalkozó kötelezettsége Megrendelő részére a megállapított átalánydíj alapján, számla szerint:</w:t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  <w:t>Vízdíj: 15 m3/hó,</w:t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  <w:t>Gázdíj: 160 m3/hó,</w:t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  <w:t>Áramdíj: 1000 kW/hó.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 xml:space="preserve">13. </w:t>
      </w:r>
      <w:r>
        <w:rPr>
          <w:rFonts w:eastAsia="Arial" w:cs="Arial" w:ascii="Arial" w:hAnsi="Arial"/>
          <w:b w:val="false"/>
          <w:color w:val="auto"/>
          <w:sz w:val="24"/>
        </w:rPr>
        <w:t>Vállalkozó köteles a vonatkozó hatályos jogszabályok szerint eljárva gondoskodni az étkeztetés zavartalan működéséről. Biztosítja a vonatkozó jogszabályi előírások betartását a szükséges szakhatósági hozzájárulások beszerzését és betartását jelen szerződés keretében végzett tevékenységével összefüggésben.</w:t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  <w:t xml:space="preserve">                                                           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>14.</w:t>
      </w:r>
      <w:r>
        <w:rPr>
          <w:rFonts w:eastAsia="Arial" w:cs="Arial" w:ascii="Arial" w:hAnsi="Arial"/>
          <w:b w:val="false"/>
          <w:color w:val="auto"/>
          <w:sz w:val="24"/>
        </w:rPr>
        <w:t xml:space="preserve"> Vállalkozó köteles a tárgyhetet megelőző két héttel korábban a tárgyhétre biztosítandó ételek vonatkozásában részletes étlapot Megrendelő részére átadni. Megrendelő jogosult az átadott étlap vonatkozásában az átadást követő hét utolsó nevelési/oktatási napjáig észrevételeit megtenni, melyet Vállalkozó köteles figyelembe venni Megrendelő elvárásai szerint – szükség esetén – a tárgyhétre  vonatkozó étlapot módosítani.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>15.</w:t>
      </w:r>
      <w:r>
        <w:rPr>
          <w:rFonts w:eastAsia="Arial" w:cs="Arial" w:ascii="Arial" w:hAnsi="Arial"/>
          <w:b w:val="false"/>
          <w:color w:val="auto"/>
          <w:sz w:val="24"/>
        </w:rPr>
        <w:t xml:space="preserve"> Megrendelő étkezési típusok (tízórai, ebéd, uzsonna) szerinti bontásban köteles a megrendelésben megadni, hogy a megrendeléssel érintett napon az adott étkezési típusból hány adag biztosítását kéri. Az egyes étkezési típusok tekintetében ugyanazon napon eltérő létszámra szóló megrendelés is leadható, Vállalkozó a leadott rendelés szerinti adag- mennyiséget köteles biztosítani. 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>16.</w:t>
      </w:r>
      <w:r>
        <w:rPr>
          <w:rFonts w:eastAsia="Arial" w:cs="Arial" w:ascii="Arial" w:hAnsi="Arial"/>
          <w:b w:val="false"/>
          <w:color w:val="auto"/>
          <w:sz w:val="24"/>
        </w:rPr>
        <w:t xml:space="preserve"> Vállalkozót jelen szerződés szerinti vállalkozói kötelezettségek szerződésszerű, maradéktalan teljesítése esetén, ennek ellenértékeként megillető vállalkozói díj összegét jelen szerződés 2. melléklete tartalmazza.</w:t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 w:val="false"/>
          <w:color w:val="auto"/>
          <w:sz w:val="24"/>
        </w:rPr>
        <w:t xml:space="preserve">A szerződésben rögzített vállalkozói díj összegének indokolt esetben történő emelésére legfeljebb évente egyszer   vállalkozó kérelmet nyújthat be.  A vállalkozói díj emeléséről a képviselő-testület dönt.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>17.</w:t>
      </w:r>
      <w:r>
        <w:rPr>
          <w:rFonts w:eastAsia="Arial" w:cs="Arial" w:ascii="Arial" w:hAnsi="Arial"/>
          <w:b w:val="false"/>
          <w:color w:val="auto"/>
          <w:sz w:val="24"/>
        </w:rPr>
        <w:t xml:space="preserve"> Vállalkozó jelen szerződés szerinti feladatait a mindenkor hatályos jogszabályi előírásoknak – különös tekintettel a vendéglátó-ipari termékek előállításának és forgalomba hozatalának élelmiszerbiztonsági feltételeiről szóló 62/2011. (VI. 30.) VM rendelet vonatkozó előírásaira, közte a rendelet mellékletében lévő táblázatokban szereplő adatokra, illetve a  közétkeztetésről szóló 37/2014. (IV.30) EMMI rendeletben foglaltakra  – megfelelően köteles ellátni. Tevékenysége során Vállalkozó köteles betartani valamennyi hatósági előírást és szakmai követelményt. 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>18.</w:t>
      </w:r>
      <w:r>
        <w:rPr>
          <w:rFonts w:eastAsia="Arial" w:cs="Arial" w:ascii="Arial" w:hAnsi="Arial"/>
          <w:b w:val="false"/>
          <w:color w:val="auto"/>
          <w:sz w:val="24"/>
        </w:rPr>
        <w:t xml:space="preserve"> Vállalkozó a tevékenységét az ilyen tevékenységet végzőktől elvárható fokozott gondossággal és annak szem előtt tartásával köteles végezni, hogy az általa előállított ételek túlnyomó többségében óvodás és általános iskolás korú gyermekek fogyasztják, akiknek a testi ( fizikai ) fejlődése, egészsége valamint felnőtt korukra is kiható étkezési szokásainak és kultúrájának kialakulása szempontjából rendkívül nagy jelentősége van az általuk naponta elfogyasztott élelmiszer minőségének, mennyiségének, összetételének.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>19.</w:t>
      </w:r>
      <w:r>
        <w:rPr>
          <w:rFonts w:eastAsia="Arial" w:cs="Arial" w:ascii="Arial" w:hAnsi="Arial"/>
          <w:b w:val="false"/>
          <w:color w:val="auto"/>
          <w:sz w:val="24"/>
        </w:rPr>
        <w:t xml:space="preserve"> Amennyiben Vállalkozó maradéktalanul teljesíti jelen szerződésben vállalt kötelezettségeit, úgy Megrendelőt a felmondás joga nem illeti meg.  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  <w:t xml:space="preserve">Amennyiben Vállalkozó jelen szerződésben  vállalt kötelezettségeinek Megrendelő írásbeli felhívása ellenére sem tesz eleget, akkor Megrendelőt megilleti az azonnali felmondás joga.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  <w:t xml:space="preserve">Megrendelő jogosult továbbá azonnali hatállyal felmondani jelen szerződést, ha a Vállalkozó a bérleti díj fizetési kötelezettségének határidőben nem tesz eleget.  </w:t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  <w:t xml:space="preserve">                                                                    </w:t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  <w:t xml:space="preserve">Felek nem zárják ki jelen szerződés bármikor, közös megegyezéssel történő felmondását 45 napos felmondási határidővel.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 w:val="false"/>
          <w:color w:val="auto"/>
          <w:sz w:val="24"/>
        </w:rPr>
        <w:t xml:space="preserve">Vállalkozó tudomásul veszi, hogy amennyiben jelen szerződés 3. pontja szerinti főzőkonyhának helyet adó általános iskola – fenntartói döntés következtében – megszüntetésre kerül, akkor jelen szerződés is felmondásra kerül Megrendelő által.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  <w:t xml:space="preserve">Vállalkozó jelen szerződés ezen okból történő megszűnése előtt már teljesített tevékenysége szerződésszerű pénzbeli ellenértékére jogosult.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/>
          <w:color w:val="auto"/>
          <w:sz w:val="24"/>
        </w:rPr>
        <w:t>20.</w:t>
      </w:r>
      <w:r>
        <w:rPr>
          <w:rFonts w:eastAsia="Arial" w:cs="Arial" w:ascii="Arial" w:hAnsi="Arial"/>
          <w:b w:val="false"/>
          <w:color w:val="auto"/>
          <w:sz w:val="24"/>
        </w:rPr>
        <w:t xml:space="preserve"> Jelen szerződésben nem szabályozott, egyéb kérdésekben a Ptk. előírásai az irányadóak. Felek jelen szerződésből eredő jogviták eldöntésére a Pápai Járásbíróság kizárólagos illetékességét jelölik meg.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  <w:t xml:space="preserve">Jelen szerződést a Felek elolvasták, s mint akaratukkal mindenben megegyezőt a jelenlévő tanúk előtt jóváhagyólag aláírják.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 w:val="false"/>
          <w:color w:val="auto"/>
          <w:sz w:val="24"/>
        </w:rPr>
        <w:t>Pápakovácsi, 2019. július 29.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  <w:t xml:space="preserve">                              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 w:val="false"/>
          <w:color w:val="auto"/>
          <w:sz w:val="24"/>
        </w:rPr>
        <w:t>Burghardt Ferenc .</w:t>
        <w:tab/>
        <w:tab/>
        <w:tab/>
        <w:tab/>
        <w:t xml:space="preserve">Sándor Mihály </w:t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 w:val="false"/>
          <w:color w:val="auto"/>
          <w:sz w:val="24"/>
        </w:rPr>
        <w:t>Megrendelő                                                                  Vállalkozó</w:t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/>
      </w:pPr>
      <w: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8909685"/>
            <wp:effectExtent l="0" t="0" r="0" b="0"/>
            <wp:wrapSquare wrapText="largest"/>
            <wp:docPr id="1" name="Kép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ép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909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 xml:space="preserve"> </w:t>
      </w:r>
      <w:r>
        <w:rPr/>
        <w:t xml:space="preserve">    </w:t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  <w:drawing>
          <wp:anchor behindDoc="0" distT="0" distB="0" distL="0" distR="0" simplePos="0" locked="0" layoutInCell="1" allowOverlap="1" relativeHeight="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8655685"/>
            <wp:effectExtent l="0" t="0" r="0" b="0"/>
            <wp:wrapSquare wrapText="largest"/>
            <wp:docPr id="2" name="Kép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ép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5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</w:r>
    </w:p>
    <w:p>
      <w:pPr>
        <w:pStyle w:val="Normal"/>
        <w:spacing w:lineRule="auto" w:line="240"/>
        <w:jc w:val="both"/>
        <w:rPr/>
      </w:pPr>
      <w:r>
        <w:rPr>
          <w:rFonts w:eastAsia="Arial" w:cs="Arial" w:ascii="Arial" w:hAnsi="Arial"/>
          <w:b w:val="false"/>
          <w:color w:val="auto"/>
          <w:sz w:val="24"/>
        </w:rPr>
        <w:t xml:space="preserve">                                               </w:t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both"/>
        <w:rPr>
          <w:rFonts w:ascii="Arial" w:hAnsi="Arial" w:eastAsia="Arial" w:cs="Arial"/>
          <w:b w:val="false"/>
          <w:b w:val="false"/>
          <w:color w:val="auto"/>
          <w:sz w:val="24"/>
        </w:rPr>
      </w:pPr>
      <w:r>
        <w:rPr>
          <w:rFonts w:eastAsia="Arial" w:cs="Arial" w:ascii="Arial" w:hAnsi="Arial"/>
          <w:b w:val="false"/>
          <w:color w:val="auto"/>
          <w:sz w:val="24"/>
        </w:rPr>
        <w:t xml:space="preserve">                                                                         </w:t>
      </w:r>
    </w:p>
    <w:p>
      <w:pPr>
        <w:pStyle w:val="Normal"/>
        <w:numPr>
          <w:ilvl w:val="0"/>
          <w:numId w:val="0"/>
        </w:numPr>
        <w:tabs>
          <w:tab w:val="clear" w:pos="1134"/>
          <w:tab w:val="left" w:pos="0" w:leader="none"/>
        </w:tabs>
        <w:spacing w:lineRule="auto" w:line="240"/>
        <w:ind w:left="0" w:right="0" w:hanging="0"/>
        <w:jc w:val="right"/>
        <w:rPr>
          <w:rFonts w:ascii="Times New Roman" w:hAnsi="Times New Roman" w:eastAsia="Times New Roman" w:cs="Times New Roman"/>
          <w:b w:val="false"/>
          <w:b w:val="false"/>
          <w:color w:val="auto"/>
          <w:sz w:val="22"/>
        </w:rPr>
      </w:pPr>
      <w:r>
        <w:rPr>
          <w:rFonts w:eastAsia="Times New Roman" w:cs="Times New Roman" w:ascii="Times New Roman" w:hAnsi="Times New Roman"/>
          <w:b w:val="false"/>
          <w:color w:val="auto"/>
          <w:sz w:val="22"/>
        </w:rPr>
        <w:t>2. számú melléklet</w:t>
      </w:r>
    </w:p>
    <w:p>
      <w:pPr>
        <w:pStyle w:val="Normal"/>
        <w:spacing w:lineRule="auto" w:line="240"/>
        <w:jc w:val="right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right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  <w:t xml:space="preserve">     </w:t>
      </w:r>
    </w:p>
    <w:p>
      <w:pPr>
        <w:pStyle w:val="Normal"/>
        <w:spacing w:lineRule="auto" w:line="240"/>
        <w:ind w:left="375" w:right="0" w:hanging="0"/>
        <w:jc w:val="left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ind w:left="375" w:right="0" w:hanging="0"/>
        <w:jc w:val="left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left"/>
        <w:rPr>
          <w:rFonts w:ascii="Times New Roman" w:hAnsi="Times New Roman" w:eastAsia="Times New Roman" w:cs="Times New Roman"/>
          <w:b/>
          <w:b/>
          <w:color w:val="auto"/>
          <w:sz w:val="24"/>
        </w:rPr>
      </w:pPr>
      <w:r>
        <w:rPr>
          <w:rFonts w:eastAsia="Times New Roman" w:cs="Times New Roman" w:ascii="Times New Roman" w:hAnsi="Times New Roman"/>
          <w:b/>
          <w:color w:val="auto"/>
          <w:sz w:val="24"/>
        </w:rPr>
        <w:t>Német Nemzetiségi Általános Iskola esetén az egy adagra vetített napi étkezés költség (Ft):</w:t>
      </w:r>
    </w:p>
    <w:p>
      <w:pPr>
        <w:pStyle w:val="Normal"/>
        <w:spacing w:lineRule="auto" w:line="240"/>
        <w:jc w:val="left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tbl>
      <w:tblPr>
        <w:tblW w:w="9222" w:type="dxa"/>
        <w:jc w:val="left"/>
        <w:tblInd w:w="0" w:type="dxa"/>
        <w:tblCellMar>
          <w:top w:w="0" w:type="dxa"/>
          <w:left w:w="70" w:type="dxa"/>
          <w:bottom w:w="0" w:type="dxa"/>
          <w:right w:w="70" w:type="dxa"/>
        </w:tblCellMar>
      </w:tblPr>
      <w:tblGrid>
        <w:gridCol w:w="1607"/>
        <w:gridCol w:w="1530"/>
        <w:gridCol w:w="1519"/>
        <w:gridCol w:w="1515"/>
        <w:gridCol w:w="1522"/>
        <w:gridCol w:w="1528"/>
      </w:tblGrid>
      <w:tr>
        <w:trPr/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Calibri" w:hAnsi="Calibri" w:eastAsia="Calibri" w:cs="Calibri"/>
                <w:b w:val="false"/>
                <w:b w:val="false"/>
                <w:color w:val="auto"/>
                <w:sz w:val="22"/>
              </w:rPr>
            </w:pPr>
            <w:r>
              <w:rPr>
                <w:rFonts w:eastAsia="Calibri" w:cs="Calibri"/>
                <w:b w:val="false"/>
                <w:color w:val="auto"/>
                <w:sz w:val="22"/>
              </w:rPr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center"/>
              <w:rPr>
                <w:rFonts w:ascii="Times New Roman" w:hAnsi="Times New Roman" w:eastAsia="Times New Roman" w:cs="Times New Roman"/>
                <w:b/>
                <w:b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/>
                <w:color w:val="auto"/>
                <w:sz w:val="24"/>
              </w:rPr>
              <w:t>Nyersanyag norma</w:t>
            </w:r>
          </w:p>
        </w:tc>
        <w:tc>
          <w:tcPr>
            <w:tcW w:w="15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center"/>
              <w:rPr>
                <w:rFonts w:ascii="Times New Roman" w:hAnsi="Times New Roman" w:eastAsia="Times New Roman" w:cs="Times New Roman"/>
                <w:b/>
                <w:b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/>
                <w:color w:val="auto"/>
                <w:sz w:val="24"/>
              </w:rPr>
              <w:t>Rezsi költség</w:t>
            </w:r>
          </w:p>
        </w:tc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center"/>
              <w:rPr>
                <w:rFonts w:ascii="Times New Roman" w:hAnsi="Times New Roman" w:eastAsia="Times New Roman" w:cs="Times New Roman"/>
                <w:b/>
                <w:b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/>
                <w:color w:val="auto"/>
                <w:sz w:val="24"/>
              </w:rPr>
              <w:t>Nettó érték</w:t>
            </w:r>
          </w:p>
        </w:tc>
        <w:tc>
          <w:tcPr>
            <w:tcW w:w="1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center"/>
              <w:rPr>
                <w:rFonts w:ascii="Times New Roman" w:hAnsi="Times New Roman" w:eastAsia="Times New Roman" w:cs="Times New Roman"/>
                <w:b/>
                <w:b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/>
                <w:color w:val="auto"/>
                <w:sz w:val="24"/>
              </w:rPr>
              <w:t>ÁFA mértéke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center"/>
              <w:rPr>
                <w:rFonts w:ascii="Times New Roman" w:hAnsi="Times New Roman" w:eastAsia="Times New Roman" w:cs="Times New Roman"/>
                <w:b/>
                <w:b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/>
                <w:color w:val="auto"/>
                <w:sz w:val="24"/>
              </w:rPr>
              <w:t>Bruttó érték</w:t>
            </w:r>
          </w:p>
        </w:tc>
      </w:tr>
      <w:tr>
        <w:trPr/>
        <w:tc>
          <w:tcPr>
            <w:tcW w:w="1607" w:type="dxa"/>
            <w:tcBorders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Calibri" w:hAnsi="Calibri" w:eastAsia="Calibri" w:cs="Calibri"/>
                <w:b w:val="false"/>
                <w:b w:val="false"/>
                <w:color w:val="auto"/>
                <w:sz w:val="22"/>
              </w:rPr>
            </w:pPr>
            <w:r>
              <w:rPr>
                <w:rFonts w:eastAsia="Calibri" w:cs="Calibri"/>
                <w:b/>
                <w:bCs/>
                <w:color w:val="auto"/>
                <w:sz w:val="22"/>
              </w:rPr>
              <w:t>Tizórai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center"/>
              <w:rPr>
                <w:rFonts w:ascii="Times New Roman" w:hAnsi="Times New Roman" w:eastAsia="Times New Roman" w:cs="Times New Roman"/>
                <w:b w:val="false"/>
                <w:b w:val="false"/>
                <w:bCs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bCs w:val="false"/>
                <w:color w:val="auto"/>
                <w:sz w:val="24"/>
              </w:rPr>
            </w:r>
          </w:p>
          <w:p>
            <w:pPr>
              <w:pStyle w:val="Normal"/>
              <w:spacing w:lineRule="auto" w:line="240"/>
              <w:jc w:val="center"/>
              <w:rPr>
                <w:rFonts w:ascii="Times New Roman" w:hAnsi="Times New Roman" w:eastAsia="Times New Roman" w:cs="Times New Roman"/>
                <w:b w:val="false"/>
                <w:b w:val="false"/>
                <w:bCs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bCs w:val="false"/>
                <w:color w:val="auto"/>
                <w:sz w:val="24"/>
              </w:rPr>
              <w:t xml:space="preserve">            </w:t>
            </w:r>
            <w:r>
              <w:rPr>
                <w:rFonts w:eastAsia="Times New Roman" w:cs="Times New Roman" w:ascii="Times New Roman" w:hAnsi="Times New Roman"/>
                <w:b w:val="false"/>
                <w:bCs w:val="false"/>
                <w:color w:val="auto"/>
                <w:sz w:val="24"/>
              </w:rPr>
              <w:t>123,20</w:t>
            </w:r>
          </w:p>
        </w:tc>
        <w:tc>
          <w:tcPr>
            <w:tcW w:w="1519" w:type="dxa"/>
            <w:tcBorders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</w:r>
          </w:p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 xml:space="preserve">              </w:t>
            </w: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>43,-</w:t>
            </w:r>
          </w:p>
        </w:tc>
        <w:tc>
          <w:tcPr>
            <w:tcW w:w="1515" w:type="dxa"/>
            <w:tcBorders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</w:r>
          </w:p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>166,20</w:t>
            </w:r>
          </w:p>
        </w:tc>
        <w:tc>
          <w:tcPr>
            <w:tcW w:w="1522" w:type="dxa"/>
            <w:tcBorders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</w:r>
          </w:p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 xml:space="preserve">     </w:t>
            </w: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>44.90</w:t>
            </w:r>
          </w:p>
        </w:tc>
        <w:tc>
          <w:tcPr>
            <w:tcW w:w="15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</w:r>
          </w:p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 xml:space="preserve">      </w:t>
            </w: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>211,10</w:t>
            </w:r>
          </w:p>
        </w:tc>
      </w:tr>
      <w:tr>
        <w:trPr/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/>
            </w:pPr>
            <w:r>
              <w:rPr>
                <w:rFonts w:eastAsia="Times New Roman" w:cs="Times New Roman" w:ascii="Times New Roman" w:hAnsi="Times New Roman"/>
                <w:b/>
                <w:color w:val="auto"/>
                <w:sz w:val="24"/>
              </w:rPr>
              <w:t xml:space="preserve">ebéd 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center"/>
              <w:rPr>
                <w:rFonts w:ascii="Times New Roman" w:hAnsi="Times New Roman" w:eastAsia="Times New Roman" w:cs="Times New Roman"/>
                <w:b w:val="false"/>
                <w:b w:val="false"/>
                <w:bCs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bCs w:val="false"/>
                <w:color w:val="auto"/>
                <w:sz w:val="24"/>
              </w:rPr>
            </w:r>
          </w:p>
          <w:p>
            <w:pPr>
              <w:pStyle w:val="Normal"/>
              <w:spacing w:lineRule="auto" w:line="240"/>
              <w:jc w:val="center"/>
              <w:rPr>
                <w:rFonts w:ascii="Times New Roman" w:hAnsi="Times New Roman" w:eastAsia="Times New Roman" w:cs="Times New Roman"/>
                <w:b w:val="false"/>
                <w:b w:val="false"/>
                <w:bCs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bCs w:val="false"/>
                <w:color w:val="auto"/>
                <w:sz w:val="24"/>
              </w:rPr>
            </w:r>
          </w:p>
          <w:p>
            <w:pPr>
              <w:pStyle w:val="Normal"/>
              <w:spacing w:lineRule="auto" w:line="240"/>
              <w:jc w:val="center"/>
              <w:rPr>
                <w:rFonts w:ascii="Times New Roman" w:hAnsi="Times New Roman" w:eastAsia="Times New Roman" w:cs="Times New Roman"/>
                <w:b w:val="false"/>
                <w:b w:val="false"/>
                <w:bCs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bCs w:val="false"/>
                <w:color w:val="auto"/>
                <w:sz w:val="24"/>
              </w:rPr>
              <w:t xml:space="preserve">            </w:t>
            </w:r>
            <w:r>
              <w:rPr>
                <w:rFonts w:eastAsia="Times New Roman" w:cs="Times New Roman" w:ascii="Times New Roman" w:hAnsi="Times New Roman"/>
                <w:b w:val="false"/>
                <w:bCs w:val="false"/>
                <w:color w:val="auto"/>
                <w:sz w:val="24"/>
              </w:rPr>
              <w:t>408,80</w:t>
            </w:r>
          </w:p>
        </w:tc>
        <w:tc>
          <w:tcPr>
            <w:tcW w:w="15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</w:r>
          </w:p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</w:r>
          </w:p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 xml:space="preserve">            </w:t>
            </w: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>158,-</w:t>
            </w:r>
          </w:p>
        </w:tc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</w:r>
          </w:p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</w:r>
          </w:p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>566,80</w:t>
            </w:r>
          </w:p>
        </w:tc>
        <w:tc>
          <w:tcPr>
            <w:tcW w:w="1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</w:r>
          </w:p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 xml:space="preserve">    </w:t>
            </w: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>153,-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</w:r>
          </w:p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 xml:space="preserve">      </w:t>
            </w: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>719,80</w:t>
            </w:r>
          </w:p>
        </w:tc>
      </w:tr>
      <w:tr>
        <w:trPr/>
        <w:tc>
          <w:tcPr>
            <w:tcW w:w="1607" w:type="dxa"/>
            <w:tcBorders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/>
                <w:b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/>
                <w:color w:val="auto"/>
                <w:sz w:val="24"/>
              </w:rPr>
              <w:t>Uzsonna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center"/>
              <w:rPr>
                <w:rFonts w:ascii="Times New Roman" w:hAnsi="Times New Roman" w:eastAsia="Times New Roman" w:cs="Times New Roman"/>
                <w:b w:val="false"/>
                <w:b w:val="false"/>
                <w:bCs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bCs w:val="false"/>
                <w:color w:val="auto"/>
                <w:sz w:val="24"/>
              </w:rPr>
            </w:r>
          </w:p>
          <w:p>
            <w:pPr>
              <w:pStyle w:val="Normal"/>
              <w:spacing w:lineRule="auto" w:line="240"/>
              <w:jc w:val="center"/>
              <w:rPr>
                <w:rFonts w:ascii="Times New Roman" w:hAnsi="Times New Roman" w:eastAsia="Times New Roman" w:cs="Times New Roman"/>
                <w:b w:val="false"/>
                <w:b w:val="false"/>
                <w:bCs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bCs w:val="false"/>
                <w:color w:val="auto"/>
                <w:sz w:val="24"/>
              </w:rPr>
              <w:t xml:space="preserve">           </w:t>
            </w:r>
            <w:r>
              <w:rPr>
                <w:rFonts w:eastAsia="Times New Roman" w:cs="Times New Roman" w:ascii="Times New Roman" w:hAnsi="Times New Roman"/>
                <w:b w:val="false"/>
                <w:bCs w:val="false"/>
                <w:color w:val="auto"/>
                <w:sz w:val="24"/>
              </w:rPr>
              <w:t>123,20</w:t>
            </w:r>
          </w:p>
        </w:tc>
        <w:tc>
          <w:tcPr>
            <w:tcW w:w="1519" w:type="dxa"/>
            <w:tcBorders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</w:r>
          </w:p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 xml:space="preserve">              </w:t>
            </w: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>43,-</w:t>
            </w:r>
          </w:p>
        </w:tc>
        <w:tc>
          <w:tcPr>
            <w:tcW w:w="1515" w:type="dxa"/>
            <w:tcBorders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</w:r>
          </w:p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>166,20</w:t>
            </w:r>
          </w:p>
        </w:tc>
        <w:tc>
          <w:tcPr>
            <w:tcW w:w="1522" w:type="dxa"/>
            <w:tcBorders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</w:r>
          </w:p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 xml:space="preserve">      </w:t>
            </w: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>44.90</w:t>
            </w:r>
          </w:p>
        </w:tc>
        <w:tc>
          <w:tcPr>
            <w:tcW w:w="15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</w:r>
          </w:p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 xml:space="preserve">      </w:t>
            </w: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>211,10</w:t>
            </w:r>
          </w:p>
        </w:tc>
      </w:tr>
      <w:tr>
        <w:trPr/>
        <w:tc>
          <w:tcPr>
            <w:tcW w:w="1607" w:type="dxa"/>
            <w:tcBorders>
              <w:top w:val="single" w:sz="2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Calibri" w:hAnsi="Calibri" w:eastAsia="Calibri" w:cs="Calibri"/>
                <w:b w:val="false"/>
                <w:b w:val="false"/>
                <w:color w:val="auto"/>
                <w:sz w:val="22"/>
              </w:rPr>
            </w:pPr>
            <w:r>
              <w:rPr>
                <w:rFonts w:eastAsia="Calibri" w:cs="Calibri"/>
                <w:b w:val="false"/>
                <w:color w:val="auto"/>
                <w:sz w:val="22"/>
              </w:rPr>
              <w:t>Összesen</w:t>
            </w:r>
          </w:p>
        </w:tc>
        <w:tc>
          <w:tcPr>
            <w:tcW w:w="1530" w:type="dxa"/>
            <w:tcBorders>
              <w:top w:val="single" w:sz="2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Calibri" w:hAnsi="Calibri" w:eastAsia="Calibri" w:cs="Calibri"/>
                <w:b/>
                <w:b/>
                <w:bCs/>
                <w:color w:val="auto"/>
                <w:sz w:val="26"/>
                <w:szCs w:val="26"/>
              </w:rPr>
            </w:pPr>
            <w:r>
              <w:rPr>
                <w:rFonts w:eastAsia="Calibri" w:cs="Calibri"/>
                <w:b/>
                <w:bCs/>
                <w:color w:val="auto"/>
                <w:sz w:val="26"/>
                <w:szCs w:val="26"/>
              </w:rPr>
              <w:t xml:space="preserve">           </w:t>
            </w:r>
            <w:r>
              <w:rPr>
                <w:rFonts w:eastAsia="Calibri" w:cs="Calibri"/>
                <w:b/>
                <w:bCs/>
                <w:color w:val="auto"/>
                <w:sz w:val="26"/>
                <w:szCs w:val="26"/>
              </w:rPr>
              <w:t>655,20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Calibri" w:hAnsi="Calibri" w:eastAsia="Calibri" w:cs="Calibri"/>
                <w:b/>
                <w:b/>
                <w:bCs/>
                <w:color w:val="auto"/>
                <w:sz w:val="26"/>
                <w:szCs w:val="26"/>
              </w:rPr>
            </w:pPr>
            <w:r>
              <w:rPr>
                <w:rFonts w:eastAsia="Calibri" w:cs="Calibri"/>
                <w:b/>
                <w:bCs/>
                <w:color w:val="auto"/>
                <w:sz w:val="26"/>
                <w:szCs w:val="26"/>
              </w:rPr>
              <w:t xml:space="preserve">            </w:t>
            </w:r>
            <w:r>
              <w:rPr>
                <w:rFonts w:eastAsia="Calibri" w:cs="Calibri"/>
                <w:b/>
                <w:bCs/>
                <w:color w:val="auto"/>
                <w:sz w:val="26"/>
                <w:szCs w:val="26"/>
              </w:rPr>
              <w:t>244,-</w:t>
            </w:r>
          </w:p>
        </w:tc>
        <w:tc>
          <w:tcPr>
            <w:tcW w:w="1515" w:type="dxa"/>
            <w:tcBorders>
              <w:top w:val="single" w:sz="2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Calibri" w:hAnsi="Calibri" w:eastAsia="Calibri" w:cs="Calibri"/>
                <w:b/>
                <w:b/>
                <w:bCs/>
                <w:color w:val="auto"/>
                <w:sz w:val="26"/>
                <w:szCs w:val="26"/>
              </w:rPr>
            </w:pPr>
            <w:r>
              <w:rPr>
                <w:rFonts w:eastAsia="Calibri" w:cs="Calibri"/>
                <w:b/>
                <w:bCs/>
                <w:color w:val="auto"/>
                <w:sz w:val="26"/>
                <w:szCs w:val="26"/>
              </w:rPr>
              <w:t>899,20</w:t>
            </w:r>
          </w:p>
        </w:tc>
        <w:tc>
          <w:tcPr>
            <w:tcW w:w="1522" w:type="dxa"/>
            <w:tcBorders>
              <w:top w:val="single" w:sz="2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Calibri" w:hAnsi="Calibri" w:eastAsia="Calibri" w:cs="Calibri"/>
                <w:b/>
                <w:b/>
                <w:bCs/>
                <w:color w:val="auto"/>
                <w:sz w:val="26"/>
                <w:szCs w:val="26"/>
              </w:rPr>
            </w:pPr>
            <w:r>
              <w:rPr>
                <w:rFonts w:eastAsia="Calibri" w:cs="Calibri"/>
                <w:b/>
                <w:bCs/>
                <w:color w:val="auto"/>
                <w:sz w:val="26"/>
                <w:szCs w:val="26"/>
              </w:rPr>
              <w:t xml:space="preserve">    </w:t>
            </w:r>
            <w:r>
              <w:rPr>
                <w:rFonts w:eastAsia="Calibri" w:cs="Calibri"/>
                <w:b/>
                <w:bCs/>
                <w:color w:val="auto"/>
                <w:sz w:val="26"/>
                <w:szCs w:val="26"/>
              </w:rPr>
              <w:t>242,80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Calibri" w:hAnsi="Calibri" w:eastAsia="Calibri" w:cs="Calibri"/>
                <w:b/>
                <w:b/>
                <w:bCs/>
                <w:color w:val="auto"/>
                <w:sz w:val="26"/>
                <w:szCs w:val="26"/>
              </w:rPr>
            </w:pPr>
            <w:r>
              <w:rPr>
                <w:rFonts w:eastAsia="Calibri" w:cs="Calibri"/>
                <w:b/>
                <w:bCs/>
                <w:color w:val="auto"/>
                <w:sz w:val="26"/>
                <w:szCs w:val="26"/>
              </w:rPr>
              <w:t xml:space="preserve">   </w:t>
            </w:r>
            <w:r>
              <w:rPr>
                <w:rFonts w:eastAsia="Calibri" w:cs="Calibri"/>
                <w:b/>
                <w:bCs/>
                <w:color w:val="auto"/>
                <w:sz w:val="26"/>
                <w:szCs w:val="26"/>
              </w:rPr>
              <w:t xml:space="preserve">1.142,- </w:t>
            </w:r>
          </w:p>
        </w:tc>
      </w:tr>
    </w:tbl>
    <w:p>
      <w:pPr>
        <w:pStyle w:val="Normal"/>
        <w:spacing w:lineRule="auto" w:line="240"/>
        <w:jc w:val="left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left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left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left"/>
        <w:rPr>
          <w:rFonts w:ascii="Calibri" w:hAnsi="Calibri" w:eastAsia="Calibri" w:cs="Calibri"/>
          <w:b w:val="false"/>
          <w:b w:val="false"/>
          <w:color w:val="auto"/>
          <w:sz w:val="22"/>
        </w:rPr>
      </w:pPr>
      <w:r>
        <w:rPr>
          <w:rFonts w:eastAsia="Calibri" w:cs="Calibri"/>
          <w:b w:val="false"/>
          <w:color w:val="auto"/>
          <w:sz w:val="22"/>
        </w:rPr>
      </w:r>
    </w:p>
    <w:p>
      <w:pPr>
        <w:pStyle w:val="Normal"/>
        <w:spacing w:lineRule="auto" w:line="240"/>
        <w:jc w:val="left"/>
        <w:rPr>
          <w:rFonts w:ascii="Times New Roman" w:hAnsi="Times New Roman" w:eastAsia="Times New Roman" w:cs="Times New Roman"/>
          <w:b/>
          <w:b/>
          <w:color w:val="auto"/>
          <w:sz w:val="24"/>
        </w:rPr>
      </w:pPr>
      <w:r>
        <w:rPr>
          <w:rFonts w:eastAsia="Times New Roman" w:cs="Times New Roman" w:ascii="Times New Roman" w:hAnsi="Times New Roman"/>
          <w:b/>
          <w:color w:val="auto"/>
          <w:sz w:val="24"/>
        </w:rPr>
        <w:t xml:space="preserve">A település szociális étkeztetésének egy adagra vetített napi költsége (Ft): </w:t>
      </w:r>
    </w:p>
    <w:p>
      <w:pPr>
        <w:pStyle w:val="Normal"/>
        <w:spacing w:lineRule="auto" w:line="240"/>
        <w:jc w:val="left"/>
        <w:rPr>
          <w:rFonts w:ascii="Times New Roman" w:hAnsi="Times New Roman" w:eastAsia="Times New Roman" w:cs="Times New Roman"/>
          <w:b w:val="false"/>
          <w:b w:val="false"/>
          <w:color w:val="auto"/>
          <w:sz w:val="24"/>
        </w:rPr>
      </w:pPr>
      <w:r>
        <w:rPr>
          <w:rFonts w:eastAsia="Times New Roman" w:cs="Times New Roman" w:ascii="Times New Roman" w:hAnsi="Times New Roman"/>
          <w:b w:val="false"/>
          <w:color w:val="auto"/>
          <w:sz w:val="24"/>
        </w:rPr>
        <w:t xml:space="preserve"> </w:t>
      </w:r>
    </w:p>
    <w:tbl>
      <w:tblPr>
        <w:tblW w:w="9222" w:type="dxa"/>
        <w:jc w:val="left"/>
        <w:tblInd w:w="0" w:type="dxa"/>
        <w:tblCellMar>
          <w:top w:w="0" w:type="dxa"/>
          <w:left w:w="70" w:type="dxa"/>
          <w:bottom w:w="0" w:type="dxa"/>
          <w:right w:w="70" w:type="dxa"/>
        </w:tblCellMar>
      </w:tblPr>
      <w:tblGrid>
        <w:gridCol w:w="1607"/>
        <w:gridCol w:w="1530"/>
        <w:gridCol w:w="1519"/>
        <w:gridCol w:w="1515"/>
        <w:gridCol w:w="1522"/>
        <w:gridCol w:w="1528"/>
      </w:tblGrid>
      <w:tr>
        <w:trPr/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Calibri" w:hAnsi="Calibri" w:eastAsia="Calibri" w:cs="Calibri"/>
                <w:b w:val="false"/>
                <w:b w:val="false"/>
                <w:color w:val="auto"/>
                <w:sz w:val="22"/>
              </w:rPr>
            </w:pPr>
            <w:r>
              <w:rPr>
                <w:rFonts w:eastAsia="Calibri" w:cs="Calibri"/>
                <w:b w:val="false"/>
                <w:color w:val="auto"/>
                <w:sz w:val="22"/>
              </w:rPr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center"/>
              <w:rPr>
                <w:rFonts w:ascii="Times New Roman" w:hAnsi="Times New Roman" w:eastAsia="Times New Roman" w:cs="Times New Roman"/>
                <w:b/>
                <w:b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/>
                <w:color w:val="auto"/>
                <w:sz w:val="24"/>
              </w:rPr>
              <w:t>Nyersanyag norma</w:t>
            </w:r>
          </w:p>
        </w:tc>
        <w:tc>
          <w:tcPr>
            <w:tcW w:w="15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center"/>
              <w:rPr>
                <w:rFonts w:ascii="Times New Roman" w:hAnsi="Times New Roman" w:eastAsia="Times New Roman" w:cs="Times New Roman"/>
                <w:b/>
                <w:b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/>
                <w:color w:val="auto"/>
                <w:sz w:val="24"/>
              </w:rPr>
              <w:t>Rezsi költség</w:t>
            </w:r>
          </w:p>
        </w:tc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center"/>
              <w:rPr>
                <w:rFonts w:ascii="Times New Roman" w:hAnsi="Times New Roman" w:eastAsia="Times New Roman" w:cs="Times New Roman"/>
                <w:b/>
                <w:b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/>
                <w:color w:val="auto"/>
                <w:sz w:val="24"/>
              </w:rPr>
              <w:t>Nettó érték</w:t>
            </w:r>
          </w:p>
        </w:tc>
        <w:tc>
          <w:tcPr>
            <w:tcW w:w="1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center"/>
              <w:rPr>
                <w:rFonts w:ascii="Times New Roman" w:hAnsi="Times New Roman" w:eastAsia="Times New Roman" w:cs="Times New Roman"/>
                <w:b/>
                <w:b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/>
                <w:color w:val="auto"/>
                <w:sz w:val="24"/>
              </w:rPr>
              <w:t>ÁFA mértéke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center"/>
              <w:rPr>
                <w:rFonts w:ascii="Times New Roman" w:hAnsi="Times New Roman" w:eastAsia="Times New Roman" w:cs="Times New Roman"/>
                <w:b/>
                <w:b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/>
                <w:color w:val="auto"/>
                <w:sz w:val="24"/>
              </w:rPr>
              <w:t>Bruttó érték</w:t>
            </w:r>
          </w:p>
        </w:tc>
      </w:tr>
      <w:tr>
        <w:trPr/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/>
                <w:b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/>
                <w:color w:val="auto"/>
                <w:sz w:val="24"/>
              </w:rPr>
              <w:t>ebéd biztosításának költsége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/>
                <w:b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/>
                <w:color w:val="auto"/>
                <w:sz w:val="24"/>
              </w:rPr>
            </w:r>
          </w:p>
          <w:p>
            <w:pPr>
              <w:pStyle w:val="Normal"/>
              <w:spacing w:lineRule="auto" w:line="240"/>
              <w:jc w:val="left"/>
              <w:rPr>
                <w:rFonts w:ascii="Times New Roman" w:hAnsi="Times New Roman" w:eastAsia="Times New Roman" w:cs="Times New Roman"/>
                <w:b/>
                <w:b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/>
                <w:color w:val="auto"/>
                <w:sz w:val="24"/>
              </w:rPr>
              <w:t xml:space="preserve">    </w:t>
            </w:r>
            <w:r>
              <w:rPr>
                <w:rFonts w:eastAsia="Times New Roman" w:cs="Times New Roman" w:ascii="Times New Roman" w:hAnsi="Times New Roman"/>
                <w:b/>
                <w:color w:val="auto"/>
                <w:sz w:val="24"/>
              </w:rPr>
              <w:t>408,80</w:t>
            </w:r>
          </w:p>
        </w:tc>
        <w:tc>
          <w:tcPr>
            <w:tcW w:w="15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</w:r>
          </w:p>
          <w:p>
            <w:pPr>
              <w:pStyle w:val="Normal"/>
              <w:spacing w:lineRule="auto" w:line="240"/>
              <w:jc w:val="left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b/>
                <w:bCs/>
                <w:color w:val="auto"/>
                <w:sz w:val="24"/>
              </w:rPr>
              <w:t xml:space="preserve">  </w:t>
            </w:r>
            <w:r>
              <w:rPr>
                <w:rFonts w:eastAsia="Times New Roman" w:cs="Times New Roman" w:ascii="Times New Roman" w:hAnsi="Times New Roman"/>
                <w:b/>
                <w:bCs/>
                <w:color w:val="auto"/>
                <w:sz w:val="24"/>
              </w:rPr>
              <w:t>158,10</w:t>
            </w:r>
          </w:p>
        </w:tc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</w:r>
          </w:p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 xml:space="preserve">   </w:t>
            </w:r>
            <w:r>
              <w:rPr>
                <w:rFonts w:eastAsia="Times New Roman" w:cs="Times New Roman" w:ascii="Times New Roman" w:hAnsi="Times New Roman"/>
                <w:b/>
                <w:bCs/>
                <w:color w:val="auto"/>
                <w:sz w:val="24"/>
              </w:rPr>
              <w:t>566,90</w:t>
            </w:r>
          </w:p>
        </w:tc>
        <w:tc>
          <w:tcPr>
            <w:tcW w:w="1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</w:r>
          </w:p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 xml:space="preserve">   </w:t>
            </w:r>
            <w:r>
              <w:rPr>
                <w:rFonts w:eastAsia="Times New Roman" w:cs="Times New Roman" w:ascii="Times New Roman" w:hAnsi="Times New Roman"/>
                <w:b/>
                <w:bCs/>
                <w:color w:val="auto"/>
                <w:sz w:val="24"/>
              </w:rPr>
              <w:t xml:space="preserve">  </w:t>
            </w:r>
            <w:r>
              <w:rPr>
                <w:rFonts w:eastAsia="Times New Roman" w:cs="Times New Roman" w:ascii="Times New Roman" w:hAnsi="Times New Roman"/>
                <w:b/>
                <w:bCs/>
                <w:color w:val="auto"/>
                <w:sz w:val="24"/>
              </w:rPr>
              <w:t>153,10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FFFFFF" w:val="clear"/>
          </w:tcPr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</w:r>
          </w:p>
          <w:p>
            <w:pPr>
              <w:pStyle w:val="Normal"/>
              <w:spacing w:lineRule="auto" w:line="240"/>
              <w:jc w:val="both"/>
              <w:rPr>
                <w:rFonts w:ascii="Times New Roman" w:hAnsi="Times New Roman" w:eastAsia="Times New Roman" w:cs="Times New Roman"/>
                <w:b w:val="false"/>
                <w:b w:val="false"/>
                <w:color w:val="auto"/>
                <w:sz w:val="24"/>
              </w:rPr>
            </w:pPr>
            <w:r>
              <w:rPr>
                <w:rFonts w:eastAsia="Times New Roman" w:cs="Times New Roman" w:ascii="Times New Roman" w:hAnsi="Times New Roman"/>
                <w:b w:val="false"/>
                <w:color w:val="auto"/>
                <w:sz w:val="24"/>
              </w:rPr>
              <w:t xml:space="preserve">    </w:t>
            </w:r>
            <w:r>
              <w:rPr>
                <w:rFonts w:eastAsia="Times New Roman" w:cs="Times New Roman" w:ascii="Times New Roman" w:hAnsi="Times New Roman"/>
                <w:b/>
                <w:bCs/>
                <w:color w:val="auto"/>
                <w:sz w:val="24"/>
              </w:rPr>
              <w:t xml:space="preserve">  </w:t>
            </w:r>
            <w:r>
              <w:rPr>
                <w:rFonts w:eastAsia="Times New Roman" w:cs="Times New Roman" w:ascii="Times New Roman" w:hAnsi="Times New Roman"/>
                <w:b/>
                <w:bCs/>
                <w:color w:val="auto"/>
                <w:sz w:val="24"/>
              </w:rPr>
              <w:t>720,-</w:t>
            </w:r>
          </w:p>
        </w:tc>
      </w:tr>
    </w:tbl>
    <w:p>
      <w:pPr>
        <w:pStyle w:val="Normal"/>
        <w:spacing w:lineRule="auto" w:line="240"/>
        <w:jc w:val="both"/>
        <w:rPr/>
      </w:pPr>
      <w:r>
        <w:rPr/>
      </w:r>
    </w:p>
    <w:p>
      <w:pPr>
        <w:pStyle w:val="Normal"/>
        <w:spacing w:lineRule="auto" w:line="240"/>
        <w:jc w:val="both"/>
        <w:rPr/>
      </w:pPr>
      <w:r>
        <w:rPr/>
      </w:r>
    </w:p>
    <w:p>
      <w:pPr>
        <w:pStyle w:val="Normal"/>
        <w:spacing w:lineRule="auto" w:line="240"/>
        <w:jc w:val="both"/>
        <w:rPr/>
      </w:pPr>
      <w:r>
        <w:rPr/>
      </w:r>
    </w:p>
    <w:p>
      <w:pPr>
        <w:pStyle w:val="Normal"/>
        <w:spacing w:lineRule="auto" w:line="240"/>
        <w:jc w:val="both"/>
        <w:rPr/>
      </w:pPr>
      <w:r>
        <w:rPr/>
      </w:r>
    </w:p>
    <w:p>
      <w:pPr>
        <w:pStyle w:val="Normal"/>
        <w:spacing w:lineRule="auto" w:line="240"/>
        <w:jc w:val="left"/>
        <w:rPr/>
      </w:pPr>
      <w:r>
        <w:rPr/>
      </w:r>
    </w:p>
    <w:sectPr>
      <w:type w:val="nextPage"/>
      <w:pgSz w:w="11906" w:h="16838"/>
      <w:pgMar w:left="1134" w:right="1134" w:header="720" w:top="1134" w:footer="720" w:bottom="1134" w:gutter="0"/>
      <w:pgNumType w:fmt="decimal"/>
      <w:formProt w:val="false"/>
      <w:textDirection w:val="lrTb"/>
      <w:docGrid w:type="default" w:linePitch="600" w:charSpace="36864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Calibri">
    <w:charset w:val="ee"/>
    <w:family w:val="roman"/>
    <w:pitch w:val="variable"/>
  </w:font>
  <w:font w:name="Times New Roman">
    <w:charset w:val="ee"/>
    <w:family w:val="roman"/>
    <w:pitch w:val="variable"/>
  </w:font>
  <w:font w:name="Liberation Sans">
    <w:altName w:val="Arial"/>
    <w:charset w:val="ee"/>
    <w:family w:val="roman"/>
    <w:pitch w:val="variable"/>
  </w:font>
  <w:font w:name="Arial">
    <w:charset w:val="ee"/>
    <w:family w:val="roman"/>
    <w:pitch w:val="variable"/>
  </w:font>
</w:fonts>
</file>

<file path=word/settings.xml><?xml version="1.0" encoding="utf-8"?>
<w:settings xmlns:w="http://schemas.openxmlformats.org/wordprocessingml/2006/main">
  <w:zoom w:percent="100"/>
  <w:defaultTabStop w:val="1134"/>
  <w:compat/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DejaVu Sans" w:cs="DejaVu Sans"/>
        <w:color w:val="000000"/>
        <w:sz w:val="20"/>
        <w:szCs w:val="24"/>
        <w:lang w:val="en-US" w:eastAsia="en-US" w:bidi="en-US"/>
      </w:rPr>
    </w:rPrDefault>
    <w:pPrDefault>
      <w:pPr/>
    </w:pPrDefault>
  </w:docDefaults>
  <w:style w:type="paragraph" w:styleId="Normal">
    <w:name w:val="Normal"/>
    <w:qFormat/>
    <w:pPr>
      <w:widowControl w:val="false"/>
      <w:overflowPunct w:val="false"/>
      <w:bidi w:val="0"/>
      <w:jc w:val="left"/>
    </w:pPr>
    <w:rPr>
      <w:rFonts w:ascii="Calibri" w:hAnsi="Calibri" w:eastAsia="DejaVu Sans" w:cs="DejaVu Sans"/>
      <w:color w:val="000000"/>
      <w:kern w:val="0"/>
      <w:sz w:val="22"/>
      <w:szCs w:val="24"/>
      <w:lang w:val="en-US" w:eastAsia="en-US" w:bidi="en-US"/>
    </w:rPr>
  </w:style>
  <w:style w:type="character" w:styleId="ListLabel1">
    <w:name w:val="ListLabel 1"/>
    <w:qFormat/>
    <w:rPr>
      <w:rFonts w:ascii="Times New Roman" w:hAnsi="Times New Roman" w:cs="Symbol"/>
      <w:b w:val="false"/>
      <w:sz w:val="22"/>
    </w:rPr>
  </w:style>
  <w:style w:type="character" w:styleId="ListLabel2">
    <w:name w:val="ListLabel 2"/>
    <w:qFormat/>
    <w:rPr>
      <w:rFonts w:ascii="Times New Roman" w:hAnsi="Times New Roman" w:cs="Symbol"/>
      <w:b w:val="false"/>
      <w:sz w:val="22"/>
    </w:rPr>
  </w:style>
  <w:style w:type="character" w:styleId="ListLabel3">
    <w:name w:val="ListLabel 3"/>
    <w:qFormat/>
    <w:rPr>
      <w:rFonts w:ascii="Times New Roman" w:hAnsi="Times New Roman" w:cs="Symbol"/>
      <w:b w:val="false"/>
      <w:sz w:val="22"/>
    </w:rPr>
  </w:style>
  <w:style w:type="character" w:styleId="ListLabel4">
    <w:name w:val="ListLabel 4"/>
    <w:qFormat/>
    <w:rPr>
      <w:rFonts w:ascii="Times New Roman" w:hAnsi="Times New Roman" w:cs="Symbol"/>
      <w:b w:val="false"/>
      <w:sz w:val="22"/>
    </w:rPr>
  </w:style>
  <w:style w:type="character" w:styleId="ListLabel5">
    <w:name w:val="ListLabel 5"/>
    <w:qFormat/>
    <w:rPr>
      <w:rFonts w:cs="Symbol"/>
      <w:b w:val="false"/>
      <w:sz w:val="22"/>
    </w:rPr>
  </w:style>
  <w:style w:type="paragraph" w:styleId="Cmsor">
    <w:name w:val="Címsor"/>
    <w:basedOn w:val="Normal"/>
    <w:next w:val="Szvegtrzs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Szvegtrzs">
    <w:name w:val="Body Text"/>
    <w:basedOn w:val="Normal"/>
    <w:pPr>
      <w:spacing w:lineRule="auto" w:line="276" w:before="0" w:after="140"/>
    </w:pPr>
    <w:rPr/>
  </w:style>
  <w:style w:type="paragraph" w:styleId="Lista">
    <w:name w:val="List"/>
    <w:basedOn w:val="Szvegtrzs"/>
    <w:pPr/>
    <w:rPr>
      <w:rFonts w:cs="Arial"/>
    </w:rPr>
  </w:style>
  <w:style w:type="paragraph" w:styleId="Felirat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Trgymutat">
    <w:name w:val="Tárgymutató"/>
    <w:basedOn w:val="Normal"/>
    <w:qFormat/>
    <w:pPr>
      <w:suppressLineNumbers/>
    </w:pPr>
    <w:rPr>
      <w:rFonts w:cs="Arial"/>
    </w:rPr>
  </w:style>
  <w:style w:type="paragraph" w:styleId="Tblzattartalom">
    <w:name w:val="Táblázattartalom"/>
    <w:basedOn w:val="Normal"/>
    <w:qFormat/>
    <w:pPr>
      <w:suppressLineNumbers/>
    </w:pPr>
    <w:rPr/>
  </w:style>
  <w:style w:type="paragraph" w:styleId="Tblzatfejlc">
    <w:name w:val="Táblázatfejléc"/>
    <w:basedOn w:val="Tblzattartalom"/>
    <w:qFormat/>
    <w:pPr>
      <w:suppressLineNumbers/>
      <w:jc w:val="center"/>
    </w:pPr>
    <w:rPr>
      <w:b/>
      <w:bCs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fontTable" Target="fontTable.xml"/><Relationship Id="rId5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36</TotalTime>
  <Application>LibreOffice/6.2.0.3$Windows_x86 LibreOffice_project/98c6a8a1c6c7b144ce3cc729e34964b47ce25d62</Application>
  <Pages>8</Pages>
  <Words>1119</Words>
  <Characters>8131</Characters>
  <CharactersWithSpaces>9794</CharactersWithSpaces>
  <Paragraphs>101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dc:description/>
  <dc:language>hu-HU</dc:language>
  <cp:lastModifiedBy/>
  <cp:lastPrinted>2019-08-01T14:24:19Z</cp:lastPrinted>
  <dcterms:modified xsi:type="dcterms:W3CDTF">2019-08-01T14:26:28Z</dcterms:modified>
  <cp:revision>9</cp:revision>
  <dc:subject/>
  <dc:title/>
</cp:coreProperties>
</file>