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>ELŐTERJESZTÉS</w:t>
      </w:r>
    </w:p>
    <w:p>
      <w:pPr>
        <w:pStyle w:val="NoSpacing"/>
        <w:jc w:val="center"/>
        <w:rPr/>
      </w:pPr>
      <w:r>
        <w:rPr>
          <w:rFonts w:cs="Arial" w:ascii="Arial" w:hAnsi="Arial"/>
          <w:b/>
          <w:i/>
          <w:sz w:val="26"/>
          <w:szCs w:val="26"/>
        </w:rPr>
        <w:t>Pápakovácsi Óvoda 2019. évi költségvetéséhez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 Társulás saját költségvetéséből finanszírozza és látja el feladatait. A Társulás éves költségvetés alapján működik, melyet a Társulási Tanács költségvetési határozatban állapít meg. A Társulás által fenntartott intézmény költségvetése a Társulás költségvetésének részét képezi. A Társulás a feladatellátáshoz szükséges hozzájárulást éves költségvetési határozatában előirányzatként biztosítja. A Társulás intézménye költségvetésének és annak módosításának tervezetét a Társulásban részt vevő önkormányzatok polgármesterei elfogadás előtt előzetesen egyeztetik. </w:t>
        <w:br/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 Magyarország helyi önkormányzatairól szóló 2011. évi CLXXXIX. törvény (a továbbiakban: Mötv.) 87. §-ban kapott felhatalmazással élve Pápakovácsi, Nóráp, Ganna és Döbrönte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 kezdődően. </w:t>
        <w:br/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>A köznevelési ágazatban az önkormányzatok fő feladata továbbra is az óvodai ellátás, amelyhez a központi költségvetés több elemű támogatással járul hozzá.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A költségvetési törvény szerinti támogatások mértéke: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átlagbérének és közterheinek támogatása 4.371.500 Ft/számított létszám/év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közvetlen segítőinek bér és közterheinek támogatása 2.205.000Ft/étszám/év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óvodaműködtetési támogatás 97.400 Ft/fő/év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társulás által fenntartott óvodába bejáró gyermekek utaztatásának támogatása 189.000 Ft/fő/év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kiegészítő támogatás az óvodapedagógusok minősítéséből adódó többletkiadáshoz 396.700 Ft/fő/év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nemzetiségi pótlék 563.000 Ft/fő/év.</w:t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Óvodaműködtetési támogatás illeti meg az önkormányzatot az óvoda működésével és feladatellátásával összefüggő kiadásaihoz kapcsolódóan az általa fenntartott óvodában nevelt gyermeklétszám után.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különcélú menetrendszerinti autóbusz szolgáltatás vásárlásával biztosított. A támogatás igénybevételének feltétele még, hogy az utaztatott gyermekek mellett kísérő utazzon.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központi költségvetés kiegészítő támogatást biztosít az előmeneteli rendszer keretén belül lebonyolított minősítési eljárás során 2019. január 1-jén Pedagógus II. fokozatba lévő pedagógusok béréhez. Ezen támogatást 2 fő után kapjuk meg.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Szintén a központi költségvetés kiegészítő támogatás biztosít a települési önkormányzatok által fenntartott óvodába foglalkoztatott, a köznevelési törvény alapján nemzetiségi pótlékra jogosult pedagógusok nemzetiségi pótlékához é az ehhez kapcsolódó szociális hozzájárulási adóhoz. A támogatást az önkormányzat 1 fő után kapja.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települési önkormányzatokat kötött felhasználású támogatás illeti meg az óvodai gyermekétkeztetés egyes kiadásaihoz.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2015. szeptember 1-től a gyermekek védelméről és a gyámügyi igazgatásról szóló 1997. évi XXXI. törvény hatályba lépő módosítása következtében az ingyenes óvodai gyermekétkeztetés köre kibővült.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állami támogatásokon felül az óvoda bevételét jelenti még a szülők által befizetett térítési díjak (ami azonban az ingyenes óvodai étkeztetésben részesülők körének kibővülése miatt kevesebb), valamint a fenntartó önkormányzatok támogatása is.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óvodai kiadások tekintetében (dologi és személyi juttatások) a jogszabályi keretek meglehetősen behatárolják a mozgásteret, a 2018. évi teljesítés az irányadó.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kiadások között a legnagyobb arányt a személyi juttatások teszik ki.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A személyi juttatásokon </w:t>
      </w:r>
      <w:r>
        <w:rPr>
          <w:rFonts w:cs="Arial" w:ascii="Arial" w:hAnsi="Arial"/>
          <w:sz w:val="24"/>
          <w:szCs w:val="24"/>
        </w:rPr>
        <w:t xml:space="preserve">belül a bér előirányzat tartalmazza az intézményi foglalkoztatottak munkabérét, pótlékait a jogszabályi előírásoknak megfelelően.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költségvetési törvény alapján béren kívüli juttatás az előző évivel azonos mértékben került tervezésre. Ezen felül közlekedési költségtérítésként a munkába járáshoz kapcsolódó juttatást mutattuk ki, valamint cafetéria juttatást.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 munkaadókat terhelő járulékok és szociális hozzájárulási adó </w:t>
      </w:r>
      <w:r>
        <w:rPr>
          <w:rFonts w:cs="Arial" w:ascii="Arial" w:hAnsi="Arial"/>
        </w:rPr>
        <w:t xml:space="preserve">a személyi juttatások után fizetendő járulékok előirányzatát tartalmazza. 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</w:t>
      </w:r>
      <w:r>
        <w:rPr>
          <w:rFonts w:cs="Arial" w:ascii="Arial" w:hAnsi="Arial"/>
          <w:b/>
          <w:i/>
          <w:sz w:val="24"/>
          <w:szCs w:val="24"/>
        </w:rPr>
        <w:t>dologi kiadások</w:t>
      </w:r>
      <w:r>
        <w:rPr>
          <w:rFonts w:cs="Arial" w:ascii="Arial" w:hAnsi="Arial"/>
          <w:sz w:val="24"/>
          <w:szCs w:val="24"/>
        </w:rPr>
        <w:t xml:space="preserve"> tervezésénél az előző évi teljesítési adatok jelentették a tervezés alapját.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Kiemelkedő még a közüzemi díjak mértéke, amely az előző év tényleges adatainak megfelelően került tervezésre, a gáz, villamos energia, víz és csatornadíjak összegére.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Szakmai és üzemeltetési anyagok beszerzése előirányzatán a legszükségesebb beszerzéseket tervezzük.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Karbantartásra, kisjavításra a folyamatos állagmegóváshoz szükséges munkálatok költségeit vettük számba.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Kérem a Tisztelt Társulási Tanácsot, hogy a Mesevár Óvoda 2019. évre vonatkozó költségvetési koncepcióját tárgyalja meg, és a határozati javaslatot fogadja el. </w:t>
        <w:br/>
      </w:r>
    </w:p>
    <w:p>
      <w:pPr>
        <w:pStyle w:val="NoSpacing"/>
        <w:ind w:left="708" w:firstLine="708"/>
        <w:jc w:val="both"/>
        <w:rPr>
          <w:rFonts w:ascii="Arial" w:hAnsi="Arial" w:cs="Arial"/>
          <w:b/>
          <w:b/>
          <w:i/>
          <w:i/>
          <w:sz w:val="24"/>
          <w:szCs w:val="24"/>
          <w:u w:val="single"/>
        </w:rPr>
      </w:pPr>
      <w:r>
        <w:rPr>
          <w:rFonts w:cs="Arial" w:ascii="Arial" w:hAnsi="Arial"/>
          <w:b/>
          <w:i/>
          <w:sz w:val="24"/>
          <w:szCs w:val="24"/>
          <w:u w:val="single"/>
        </w:rPr>
        <w:t>Óvodafenntartó Intézményi Társulás …./2019. (…….) határozata:</w:t>
      </w:r>
    </w:p>
    <w:p>
      <w:pPr>
        <w:pStyle w:val="NoSpacing"/>
        <w:ind w:left="36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Pápakovácsi Óvodafenntartó Társulási Tanács a Mesevár Óvoda 2019. évi költségvetését 29.700.000 Ft kiadási és bevételi főösszeggel elfogadja, amelyből működési kiadások: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személyi juttatások </w:t>
        <w:tab/>
        <w:t>18.210.000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munkaadót terhelő járulékok 3.800.000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dologi kiadások 7.690.000 Ft.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Határidő: azonnal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Felelős: elnök, intézményvezető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Pápakovácsi, 2019. január 18.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Burghardt Ferenc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    elnök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077" w:right="107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70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hu-HU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lfej"/>
    <w:semiHidden/>
    <w:qFormat/>
    <w:rsid w:val="007f56df"/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styleId="Appleconvertedspace" w:customStyle="1">
    <w:name w:val="apple-converted-space"/>
    <w:basedOn w:val="DefaultParagraphFont"/>
    <w:qFormat/>
    <w:rsid w:val="00ed2972"/>
    <w:rPr/>
  </w:style>
  <w:style w:type="character" w:styleId="Internethivatkozs">
    <w:name w:val="Internet-hivatkozás"/>
    <w:basedOn w:val="DefaultParagraphFont"/>
    <w:uiPriority w:val="99"/>
    <w:semiHidden/>
    <w:unhideWhenUsed/>
    <w:rsid w:val="00ed2972"/>
    <w:rPr>
      <w:color w:val="0000FF"/>
      <w:u w:val="single"/>
    </w:rPr>
  </w:style>
  <w:style w:type="character" w:styleId="ListLabel1">
    <w:name w:val="ListLabel 1"/>
    <w:qFormat/>
    <w:rPr>
      <w:rFonts w:ascii="Arial" w:hAnsi="Arial" w:eastAsia="Calibri" w:cs="Aria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Calibri" w:cs="Aria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eastAsia="Calibri" w:cs="Aria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3701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hu-HU" w:eastAsia="en-US" w:bidi="ar-SA"/>
    </w:rPr>
  </w:style>
  <w:style w:type="paragraph" w:styleId="Lfej">
    <w:name w:val="Header"/>
    <w:basedOn w:val="Normal"/>
    <w:link w:val="lfejChar"/>
    <w:semiHidden/>
    <w:rsid w:val="007f56d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ed2972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7FE5D-22ED-42EC-8393-D9776BB2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LibreOffice/6.1.4.2$Windows_x86 LibreOffice_project/9d0f32d1f0b509096fd65e0d4bec26ddd1938fd3</Application>
  <Pages>3</Pages>
  <Words>812</Words>
  <Characters>6067</Characters>
  <CharactersWithSpaces>6860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2018-11-08T13:15:00Z</dcterms:created>
  <dc:creator>Iroda06</dc:creator>
  <dc:description/>
  <dc:language>hu-HU</dc:language>
  <cp:lastModifiedBy/>
  <cp:lastPrinted>2019-02-15T10:41:38Z</cp:lastPrinted>
  <dcterms:modified xsi:type="dcterms:W3CDTF">2019-02-15T10:41:44Z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